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824"/>
        <w:rPr>
          <w:rFonts w:ascii="Times New Roman"/>
          <w:sz w:val="80"/>
        </w:rPr>
      </w:pPr>
      <w:r>
        <w:rPr/>
        <mc:AlternateContent>
          <mc:Choice Requires="wps">
            <w:drawing>
              <wp:anchor distT="0" distB="0" distL="0" distR="0" allowOverlap="1" layoutInCell="1" locked="0" behindDoc="1" simplePos="0" relativeHeight="487469056">
                <wp:simplePos x="0" y="0"/>
                <wp:positionH relativeFrom="page">
                  <wp:posOffset>0</wp:posOffset>
                </wp:positionH>
                <wp:positionV relativeFrom="page">
                  <wp:posOffset>0</wp:posOffset>
                </wp:positionV>
                <wp:extent cx="7560309" cy="10692130"/>
                <wp:effectExtent l="0" t="0" r="0" b="0"/>
                <wp:wrapNone/>
                <wp:docPr id="1" name="Group 1"/>
                <wp:cNvGraphicFramePr>
                  <a:graphicFrameLocks/>
                </wp:cNvGraphicFramePr>
                <a:graphic>
                  <a:graphicData uri="http://schemas.microsoft.com/office/word/2010/wordprocessingGroup">
                    <wpg:wgp>
                      <wpg:cNvPr id="1" name="Group 1"/>
                      <wpg:cNvGrpSpPr/>
                      <wpg:grpSpPr>
                        <a:xfrm>
                          <a:off x="0" y="0"/>
                          <a:ext cx="7560309" cy="10692130"/>
                          <a:chExt cx="7560309" cy="10692130"/>
                        </a:xfrm>
                      </wpg:grpSpPr>
                      <pic:pic>
                        <pic:nvPicPr>
                          <pic:cNvPr id="2" name="Image 2"/>
                          <pic:cNvPicPr/>
                        </pic:nvPicPr>
                        <pic:blipFill>
                          <a:blip r:embed="rId5" cstate="print"/>
                          <a:stretch>
                            <a:fillRect/>
                          </a:stretch>
                        </pic:blipFill>
                        <pic:spPr>
                          <a:xfrm>
                            <a:off x="0" y="0"/>
                            <a:ext cx="7559992" cy="10692003"/>
                          </a:xfrm>
                          <a:prstGeom prst="rect">
                            <a:avLst/>
                          </a:prstGeom>
                        </pic:spPr>
                      </pic:pic>
                      <wps:wsp>
                        <wps:cNvPr id="3" name="Graphic 3"/>
                        <wps:cNvSpPr/>
                        <wps:spPr>
                          <a:xfrm>
                            <a:off x="0" y="10353332"/>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pic:pic>
                        <pic:nvPicPr>
                          <pic:cNvPr id="4" name="Image 4"/>
                          <pic:cNvPicPr/>
                        </pic:nvPicPr>
                        <pic:blipFill>
                          <a:blip r:embed="rId6" cstate="print"/>
                          <a:stretch>
                            <a:fillRect/>
                          </a:stretch>
                        </pic:blipFill>
                        <pic:spPr>
                          <a:xfrm>
                            <a:off x="6201038" y="342902"/>
                            <a:ext cx="1016061" cy="422968"/>
                          </a:xfrm>
                          <a:prstGeom prst="rect">
                            <a:avLst/>
                          </a:prstGeom>
                        </pic:spPr>
                      </pic:pic>
                    </wpg:wgp>
                  </a:graphicData>
                </a:graphic>
              </wp:anchor>
            </w:drawing>
          </mc:Choice>
          <mc:Fallback>
            <w:pict>
              <v:group style="position:absolute;margin-left:0pt;margin-top:0pt;width:595.3pt;height:841.9pt;mso-position-horizontal-relative:page;mso-position-vertical-relative:page;z-index:-15847424" id="docshapegroup1" coordorigin="0,0" coordsize="11906,16838">
                <v:shape style="position:absolute;left:0;top:0;width:11906;height:16838" type="#_x0000_t75" id="docshape2" stroked="false">
                  <v:imagedata r:id="rId5" o:title=""/>
                </v:shape>
                <v:rect style="position:absolute;left:0;top:16304;width:11906;height:534" id="docshape3" filled="true" fillcolor="#efa007" stroked="false">
                  <v:fill type="solid"/>
                </v:rect>
                <v:shape style="position:absolute;left:9765;top:540;width:1601;height:667" type="#_x0000_t75" id="docshape4" stroked="false">
                  <v:imagedata r:id="rId6" o:title=""/>
                </v:shape>
                <w10:wrap type="none"/>
              </v:group>
            </w:pict>
          </mc:Fallback>
        </mc:AlternateContent>
      </w:r>
    </w:p>
    <w:p>
      <w:pPr>
        <w:pStyle w:val="Title"/>
        <w:spacing w:line="216" w:lineRule="auto"/>
      </w:pPr>
      <w:r>
        <w:rPr>
          <w:color w:val="231F20"/>
        </w:rPr>
        <w:t>Employment</w:t>
      </w:r>
      <w:r>
        <w:rPr>
          <w:color w:val="231F20"/>
          <w:spacing w:val="-37"/>
        </w:rPr>
        <w:t> </w:t>
      </w:r>
      <w:r>
        <w:rPr>
          <w:color w:val="231F20"/>
        </w:rPr>
        <w:t>Issues</w:t>
      </w:r>
      <w:r>
        <w:rPr>
          <w:color w:val="231F20"/>
          <w:spacing w:val="-37"/>
        </w:rPr>
        <w:t> </w:t>
      </w:r>
      <w:r>
        <w:rPr>
          <w:color w:val="231F20"/>
        </w:rPr>
        <w:t>for deaf people</w:t>
      </w:r>
    </w:p>
    <w:p>
      <w:pPr>
        <w:pStyle w:val="Heading1"/>
        <w:spacing w:line="242" w:lineRule="auto" w:before="660"/>
        <w:ind w:left="531" w:right="1983"/>
      </w:pPr>
      <w:r>
        <w:rPr>
          <w:color w:val="231F20"/>
        </w:rPr>
        <w:t>Deaf people who are employed often face barriers and discrimination in the workplace, experiencing limited job prospects and advancement opportunities, and enduring miscommunication practices. They often feel there</w:t>
      </w:r>
      <w:r>
        <w:rPr>
          <w:color w:val="231F20"/>
          <w:spacing w:val="-10"/>
        </w:rPr>
        <w:t> </w:t>
      </w:r>
      <w:r>
        <w:rPr>
          <w:color w:val="231F20"/>
        </w:rPr>
        <w:t>are</w:t>
      </w:r>
      <w:r>
        <w:rPr>
          <w:color w:val="231F20"/>
          <w:spacing w:val="-10"/>
        </w:rPr>
        <w:t> </w:t>
      </w:r>
      <w:r>
        <w:rPr>
          <w:color w:val="231F20"/>
        </w:rPr>
        <w:t>not</w:t>
      </w:r>
      <w:r>
        <w:rPr>
          <w:color w:val="231F20"/>
          <w:spacing w:val="-10"/>
        </w:rPr>
        <w:t> </w:t>
      </w:r>
      <w:r>
        <w:rPr>
          <w:color w:val="231F20"/>
        </w:rPr>
        <w:t>many</w:t>
      </w:r>
      <w:r>
        <w:rPr>
          <w:color w:val="231F20"/>
          <w:spacing w:val="-10"/>
        </w:rPr>
        <w:t> </w:t>
      </w:r>
      <w:r>
        <w:rPr>
          <w:color w:val="231F20"/>
        </w:rPr>
        <w:t>choices</w:t>
      </w:r>
      <w:r>
        <w:rPr>
          <w:color w:val="231F20"/>
          <w:spacing w:val="-10"/>
        </w:rPr>
        <w:t> </w:t>
      </w:r>
      <w:r>
        <w:rPr>
          <w:color w:val="231F20"/>
        </w:rPr>
        <w:t>for</w:t>
      </w:r>
      <w:r>
        <w:rPr>
          <w:color w:val="231F20"/>
          <w:spacing w:val="-10"/>
        </w:rPr>
        <w:t> </w:t>
      </w:r>
      <w:r>
        <w:rPr>
          <w:color w:val="231F20"/>
        </w:rPr>
        <w:t>career</w:t>
      </w:r>
      <w:r>
        <w:rPr>
          <w:color w:val="231F20"/>
          <w:spacing w:val="-10"/>
        </w:rPr>
        <w:t> </w:t>
      </w:r>
      <w:r>
        <w:rPr>
          <w:color w:val="231F20"/>
        </w:rPr>
        <w:t>pathways and tend to limit to what they could go into that requires less advocacy or efforts on both them and the employers.</w:t>
      </w: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rPr>
          <w:rFonts w:ascii="Museo Sans Rounded 500"/>
          <w:sz w:val="18"/>
        </w:rPr>
      </w:pPr>
    </w:p>
    <w:p>
      <w:pPr>
        <w:pStyle w:val="BodyText"/>
        <w:spacing w:before="66"/>
        <w:rPr>
          <w:rFonts w:ascii="Museo Sans Rounded 500"/>
          <w:sz w:val="18"/>
        </w:rPr>
      </w:pPr>
    </w:p>
    <w:p>
      <w:pPr>
        <w:spacing w:before="1"/>
        <w:ind w:left="0" w:right="174" w:firstLine="0"/>
        <w:jc w:val="right"/>
        <w:rPr>
          <w:rFonts w:ascii="Museo Sans Rounded 500"/>
          <w:sz w:val="18"/>
        </w:rPr>
      </w:pPr>
      <w:r>
        <w:rPr>
          <w:rFonts w:ascii="Museo Sans Rounded 500"/>
          <w:color w:val="231F20"/>
          <w:spacing w:val="-10"/>
          <w:sz w:val="18"/>
        </w:rPr>
        <w:t>1</w:t>
      </w:r>
    </w:p>
    <w:p>
      <w:pPr>
        <w:spacing w:after="0"/>
        <w:jc w:val="right"/>
        <w:rPr>
          <w:rFonts w:ascii="Museo Sans Rounded 500"/>
          <w:sz w:val="18"/>
        </w:rPr>
        <w:sectPr>
          <w:type w:val="continuous"/>
          <w:pgSz w:w="11910" w:h="16840"/>
          <w:pgMar w:top="1920" w:bottom="0" w:left="380" w:right="420"/>
        </w:sectPr>
      </w:pPr>
    </w:p>
    <w:p>
      <w:pPr>
        <w:pStyle w:val="BodyText"/>
        <w:rPr>
          <w:rFonts w:ascii="Museo Sans Rounded 500"/>
          <w:sz w:val="40"/>
        </w:rPr>
      </w:pPr>
      <w:r>
        <w:rPr/>
        <mc:AlternateContent>
          <mc:Choice Requires="wps">
            <w:drawing>
              <wp:anchor distT="0" distB="0" distL="0" distR="0" allowOverlap="1" layoutInCell="1" locked="0" behindDoc="0" simplePos="0" relativeHeight="15729152">
                <wp:simplePos x="0" y="0"/>
                <wp:positionH relativeFrom="page">
                  <wp:posOffset>0</wp:posOffset>
                </wp:positionH>
                <wp:positionV relativeFrom="page">
                  <wp:posOffset>0</wp:posOffset>
                </wp:positionV>
                <wp:extent cx="7560309" cy="5067300"/>
                <wp:effectExtent l="0" t="0" r="0" b="0"/>
                <wp:wrapNone/>
                <wp:docPr id="5" name="Group 5"/>
                <wp:cNvGraphicFramePr>
                  <a:graphicFrameLocks/>
                </wp:cNvGraphicFramePr>
                <a:graphic>
                  <a:graphicData uri="http://schemas.microsoft.com/office/word/2010/wordprocessingGroup">
                    <wpg:wgp>
                      <wpg:cNvPr id="5" name="Group 5"/>
                      <wpg:cNvGrpSpPr/>
                      <wpg:grpSpPr>
                        <a:xfrm>
                          <a:off x="0" y="0"/>
                          <a:ext cx="7560309" cy="5067300"/>
                          <a:chExt cx="7560309" cy="5067300"/>
                        </a:xfrm>
                      </wpg:grpSpPr>
                      <wps:wsp>
                        <wps:cNvPr id="6" name="Graphic 6"/>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wps:wsp>
                        <wps:cNvPr id="7" name="Graphic 7"/>
                        <wps:cNvSpPr/>
                        <wps:spPr>
                          <a:xfrm>
                            <a:off x="0" y="342900"/>
                            <a:ext cx="7560309" cy="4724400"/>
                          </a:xfrm>
                          <a:custGeom>
                            <a:avLst/>
                            <a:gdLst/>
                            <a:ahLst/>
                            <a:cxnLst/>
                            <a:rect l="l" t="t" r="r" b="b"/>
                            <a:pathLst>
                              <a:path w="7560309" h="4724400">
                                <a:moveTo>
                                  <a:pt x="7559992" y="0"/>
                                </a:moveTo>
                                <a:lnTo>
                                  <a:pt x="0" y="0"/>
                                </a:lnTo>
                                <a:lnTo>
                                  <a:pt x="0" y="4724349"/>
                                </a:lnTo>
                                <a:lnTo>
                                  <a:pt x="7559992" y="4724349"/>
                                </a:lnTo>
                                <a:lnTo>
                                  <a:pt x="7559992" y="0"/>
                                </a:lnTo>
                                <a:close/>
                              </a:path>
                            </a:pathLst>
                          </a:custGeom>
                          <a:solidFill>
                            <a:srgbClr val="FFF5E8"/>
                          </a:solidFill>
                        </wps:spPr>
                        <wps:bodyPr wrap="square" lIns="0" tIns="0" rIns="0" bIns="0" rtlCol="0">
                          <a:prstTxWarp prst="textNoShape">
                            <a:avLst/>
                          </a:prstTxWarp>
                          <a:noAutofit/>
                        </wps:bodyPr>
                      </wps:wsp>
                      <pic:pic>
                        <pic:nvPicPr>
                          <pic:cNvPr id="8" name="Image 8"/>
                          <pic:cNvPicPr/>
                        </pic:nvPicPr>
                        <pic:blipFill>
                          <a:blip r:embed="rId7" cstate="print"/>
                          <a:stretch>
                            <a:fillRect/>
                          </a:stretch>
                        </pic:blipFill>
                        <pic:spPr>
                          <a:xfrm>
                            <a:off x="720263" y="2784914"/>
                            <a:ext cx="1347774" cy="1347774"/>
                          </a:xfrm>
                          <a:prstGeom prst="rect">
                            <a:avLst/>
                          </a:prstGeom>
                        </pic:spPr>
                      </pic:pic>
                      <pic:pic>
                        <pic:nvPicPr>
                          <pic:cNvPr id="9" name="Image 9"/>
                          <pic:cNvPicPr/>
                        </pic:nvPicPr>
                        <pic:blipFill>
                          <a:blip r:embed="rId8" cstate="print"/>
                          <a:stretch>
                            <a:fillRect/>
                          </a:stretch>
                        </pic:blipFill>
                        <pic:spPr>
                          <a:xfrm>
                            <a:off x="2629468" y="2784914"/>
                            <a:ext cx="1347774" cy="1347774"/>
                          </a:xfrm>
                          <a:prstGeom prst="rect">
                            <a:avLst/>
                          </a:prstGeom>
                        </pic:spPr>
                      </pic:pic>
                      <pic:pic>
                        <pic:nvPicPr>
                          <pic:cNvPr id="10" name="Image 10"/>
                          <pic:cNvPicPr/>
                        </pic:nvPicPr>
                        <pic:blipFill>
                          <a:blip r:embed="rId9" cstate="print"/>
                          <a:stretch>
                            <a:fillRect/>
                          </a:stretch>
                        </pic:blipFill>
                        <pic:spPr>
                          <a:xfrm>
                            <a:off x="4538672" y="2784914"/>
                            <a:ext cx="1347774" cy="1347774"/>
                          </a:xfrm>
                          <a:prstGeom prst="rect">
                            <a:avLst/>
                          </a:prstGeom>
                        </pic:spPr>
                      </pic:pic>
                      <wps:wsp>
                        <wps:cNvPr id="11" name="Textbox 11"/>
                        <wps:cNvSpPr txBox="1"/>
                        <wps:spPr>
                          <a:xfrm>
                            <a:off x="720262" y="1183426"/>
                            <a:ext cx="4919345" cy="1199515"/>
                          </a:xfrm>
                          <a:prstGeom prst="rect">
                            <a:avLst/>
                          </a:prstGeom>
                        </wps:spPr>
                        <wps:txbx>
                          <w:txbxContent>
                            <w:p>
                              <w:pPr>
                                <w:spacing w:line="369" w:lineRule="exact" w:before="0"/>
                                <w:ind w:left="0" w:right="0" w:firstLine="0"/>
                                <w:jc w:val="left"/>
                                <w:rPr>
                                  <w:sz w:val="32"/>
                                </w:rPr>
                              </w:pPr>
                              <w:r>
                                <w:rPr>
                                  <w:color w:val="231F20"/>
                                  <w:sz w:val="32"/>
                                </w:rPr>
                                <w:t>By implementing fair employment practices, </w:t>
                              </w:r>
                              <w:r>
                                <w:rPr>
                                  <w:color w:val="231F20"/>
                                  <w:spacing w:val="-4"/>
                                  <w:sz w:val="32"/>
                                </w:rPr>
                                <w:t>such</w:t>
                              </w:r>
                            </w:p>
                            <w:p>
                              <w:pPr>
                                <w:spacing w:before="0"/>
                                <w:ind w:left="0" w:right="0" w:firstLine="0"/>
                                <w:jc w:val="left"/>
                                <w:rPr>
                                  <w:sz w:val="32"/>
                                </w:rPr>
                              </w:pPr>
                              <w:r>
                                <w:rPr>
                                  <w:color w:val="231F20"/>
                                  <w:sz w:val="32"/>
                                </w:rPr>
                                <w:t>as offering reasonable accommodations, fostering inclusive work environments, and supplying opportunities</w:t>
                              </w:r>
                              <w:r>
                                <w:rPr>
                                  <w:color w:val="231F20"/>
                                  <w:spacing w:val="-10"/>
                                  <w:sz w:val="32"/>
                                </w:rPr>
                                <w:t> </w:t>
                              </w:r>
                              <w:r>
                                <w:rPr>
                                  <w:color w:val="231F20"/>
                                  <w:sz w:val="32"/>
                                </w:rPr>
                                <w:t>for</w:t>
                              </w:r>
                              <w:r>
                                <w:rPr>
                                  <w:color w:val="231F20"/>
                                  <w:spacing w:val="-10"/>
                                  <w:sz w:val="32"/>
                                </w:rPr>
                                <w:t> </w:t>
                              </w:r>
                              <w:r>
                                <w:rPr>
                                  <w:color w:val="231F20"/>
                                  <w:sz w:val="32"/>
                                </w:rPr>
                                <w:t>professional</w:t>
                              </w:r>
                              <w:r>
                                <w:rPr>
                                  <w:color w:val="231F20"/>
                                  <w:spacing w:val="-10"/>
                                  <w:sz w:val="32"/>
                                </w:rPr>
                                <w:t> </w:t>
                              </w:r>
                              <w:r>
                                <w:rPr>
                                  <w:color w:val="231F20"/>
                                  <w:sz w:val="32"/>
                                </w:rPr>
                                <w:t>development,</w:t>
                              </w:r>
                              <w:r>
                                <w:rPr>
                                  <w:color w:val="231F20"/>
                                  <w:spacing w:val="-10"/>
                                  <w:sz w:val="32"/>
                                </w:rPr>
                                <w:t> </w:t>
                              </w:r>
                              <w:r>
                                <w:rPr>
                                  <w:color w:val="231F20"/>
                                  <w:sz w:val="32"/>
                                </w:rPr>
                                <w:t>barriers to employment for those deaf employees.</w:t>
                              </w:r>
                            </w:p>
                          </w:txbxContent>
                        </wps:txbx>
                        <wps:bodyPr wrap="square" lIns="0" tIns="0" rIns="0" bIns="0" rtlCol="0">
                          <a:noAutofit/>
                        </wps:bodyPr>
                      </wps:wsp>
                      <wps:wsp>
                        <wps:cNvPr id="12" name="Textbox 12"/>
                        <wps:cNvSpPr txBox="1"/>
                        <wps:spPr>
                          <a:xfrm>
                            <a:off x="939591" y="4214707"/>
                            <a:ext cx="927100" cy="227329"/>
                          </a:xfrm>
                          <a:prstGeom prst="rect">
                            <a:avLst/>
                          </a:prstGeom>
                        </wps:spPr>
                        <wps:txbx>
                          <w:txbxContent>
                            <w:p>
                              <w:pPr>
                                <w:spacing w:before="0"/>
                                <w:ind w:left="0" w:right="0" w:firstLine="0"/>
                                <w:jc w:val="left"/>
                                <w:rPr>
                                  <w:rFonts w:ascii="Museo Sans Rounded 700"/>
                                  <w:b/>
                                  <w:sz w:val="30"/>
                                </w:rPr>
                              </w:pPr>
                              <w:r>
                                <w:rPr>
                                  <w:rFonts w:ascii="Museo Sans Rounded 700"/>
                                  <w:b/>
                                  <w:color w:val="231F20"/>
                                  <w:spacing w:val="-2"/>
                                  <w:sz w:val="30"/>
                                </w:rPr>
                                <w:t>Accessible</w:t>
                              </w:r>
                            </w:p>
                          </w:txbxContent>
                        </wps:txbx>
                        <wps:bodyPr wrap="square" lIns="0" tIns="0" rIns="0" bIns="0" rtlCol="0">
                          <a:noAutofit/>
                        </wps:bodyPr>
                      </wps:wsp>
                      <wps:wsp>
                        <wps:cNvPr id="13" name="Textbox 13"/>
                        <wps:cNvSpPr txBox="1"/>
                        <wps:spPr>
                          <a:xfrm>
                            <a:off x="3152303" y="4214707"/>
                            <a:ext cx="323215" cy="227329"/>
                          </a:xfrm>
                          <a:prstGeom prst="rect">
                            <a:avLst/>
                          </a:prstGeom>
                        </wps:spPr>
                        <wps:txbx>
                          <w:txbxContent>
                            <w:p>
                              <w:pPr>
                                <w:spacing w:before="0"/>
                                <w:ind w:left="0" w:right="0" w:firstLine="0"/>
                                <w:jc w:val="left"/>
                                <w:rPr>
                                  <w:rFonts w:ascii="Museo Sans Rounded 700"/>
                                  <w:b/>
                                  <w:sz w:val="30"/>
                                </w:rPr>
                              </w:pPr>
                              <w:r>
                                <w:rPr>
                                  <w:rFonts w:ascii="Museo Sans Rounded 700"/>
                                  <w:b/>
                                  <w:color w:val="231F20"/>
                                  <w:spacing w:val="-4"/>
                                  <w:sz w:val="30"/>
                                </w:rPr>
                                <w:t>Fair</w:t>
                              </w:r>
                            </w:p>
                          </w:txbxContent>
                        </wps:txbx>
                        <wps:bodyPr wrap="square" lIns="0" tIns="0" rIns="0" bIns="0" rtlCol="0">
                          <a:noAutofit/>
                        </wps:bodyPr>
                      </wps:wsp>
                      <wps:wsp>
                        <wps:cNvPr id="14" name="Textbox 14"/>
                        <wps:cNvSpPr txBox="1"/>
                        <wps:spPr>
                          <a:xfrm>
                            <a:off x="4735977" y="4214707"/>
                            <a:ext cx="969644" cy="227329"/>
                          </a:xfrm>
                          <a:prstGeom prst="rect">
                            <a:avLst/>
                          </a:prstGeom>
                        </wps:spPr>
                        <wps:txbx>
                          <w:txbxContent>
                            <w:p>
                              <w:pPr>
                                <w:spacing w:before="0"/>
                                <w:ind w:left="0" w:right="0" w:firstLine="0"/>
                                <w:jc w:val="left"/>
                                <w:rPr>
                                  <w:rFonts w:ascii="Museo Sans Rounded 700"/>
                                  <w:b/>
                                  <w:sz w:val="30"/>
                                </w:rPr>
                              </w:pPr>
                              <w:r>
                                <w:rPr>
                                  <w:rFonts w:ascii="Museo Sans Rounded 700"/>
                                  <w:b/>
                                  <w:color w:val="231F20"/>
                                  <w:spacing w:val="-2"/>
                                  <w:sz w:val="30"/>
                                </w:rPr>
                                <w:t>Supportive</w:t>
                              </w:r>
                            </w:p>
                          </w:txbxContent>
                        </wps:txbx>
                        <wps:bodyPr wrap="square" lIns="0" tIns="0" rIns="0" bIns="0" rtlCol="0">
                          <a:noAutofit/>
                        </wps:bodyPr>
                      </wps:wsp>
                    </wpg:wgp>
                  </a:graphicData>
                </a:graphic>
              </wp:anchor>
            </w:drawing>
          </mc:Choice>
          <mc:Fallback>
            <w:pict>
              <v:group style="position:absolute;margin-left:0pt;margin-top:.000015pt;width:595.3pt;height:399pt;mso-position-horizontal-relative:page;mso-position-vertical-relative:page;z-index:15729152" id="docshapegroup5" coordorigin="0,0" coordsize="11906,7980">
                <v:rect style="position:absolute;left:0;top:0;width:11906;height:534" id="docshape6" filled="true" fillcolor="#efa007" stroked="false">
                  <v:fill type="solid"/>
                </v:rect>
                <v:rect style="position:absolute;left:0;top:540;width:11906;height:7440" id="docshape7" filled="true" fillcolor="#fff5e8" stroked="false">
                  <v:fill type="solid"/>
                </v:rect>
                <v:shape style="position:absolute;left:1134;top:4385;width:2123;height:2123" type="#_x0000_t75" id="docshape8" stroked="false">
                  <v:imagedata r:id="rId7" o:title=""/>
                </v:shape>
                <v:shape style="position:absolute;left:4140;top:4385;width:2123;height:2123" type="#_x0000_t75" id="docshape9" stroked="false">
                  <v:imagedata r:id="rId8" o:title=""/>
                </v:shape>
                <v:shape style="position:absolute;left:7147;top:4385;width:2123;height:2123" type="#_x0000_t75" id="docshape10" stroked="false">
                  <v:imagedata r:id="rId9" o:title=""/>
                </v:shape>
                <v:shapetype id="_x0000_t202" o:spt="202" coordsize="21600,21600" path="m,l,21600r21600,l21600,xe">
                  <v:stroke joinstyle="miter"/>
                  <v:path gradientshapeok="t" o:connecttype="rect"/>
                </v:shapetype>
                <v:shape style="position:absolute;left:1134;top:1863;width:7747;height:1889" type="#_x0000_t202" id="docshape11" filled="false" stroked="false">
                  <v:textbox inset="0,0,0,0">
                    <w:txbxContent>
                      <w:p>
                        <w:pPr>
                          <w:spacing w:line="369" w:lineRule="exact" w:before="0"/>
                          <w:ind w:left="0" w:right="0" w:firstLine="0"/>
                          <w:jc w:val="left"/>
                          <w:rPr>
                            <w:sz w:val="32"/>
                          </w:rPr>
                        </w:pPr>
                        <w:r>
                          <w:rPr>
                            <w:color w:val="231F20"/>
                            <w:sz w:val="32"/>
                          </w:rPr>
                          <w:t>By implementing fair employment practices, </w:t>
                        </w:r>
                        <w:r>
                          <w:rPr>
                            <w:color w:val="231F20"/>
                            <w:spacing w:val="-4"/>
                            <w:sz w:val="32"/>
                          </w:rPr>
                          <w:t>such</w:t>
                        </w:r>
                      </w:p>
                      <w:p>
                        <w:pPr>
                          <w:spacing w:before="0"/>
                          <w:ind w:left="0" w:right="0" w:firstLine="0"/>
                          <w:jc w:val="left"/>
                          <w:rPr>
                            <w:sz w:val="32"/>
                          </w:rPr>
                        </w:pPr>
                        <w:r>
                          <w:rPr>
                            <w:color w:val="231F20"/>
                            <w:sz w:val="32"/>
                          </w:rPr>
                          <w:t>as offering reasonable accommodations, fostering inclusive work environments, and supplying opportunities</w:t>
                        </w:r>
                        <w:r>
                          <w:rPr>
                            <w:color w:val="231F20"/>
                            <w:spacing w:val="-10"/>
                            <w:sz w:val="32"/>
                          </w:rPr>
                          <w:t> </w:t>
                        </w:r>
                        <w:r>
                          <w:rPr>
                            <w:color w:val="231F20"/>
                            <w:sz w:val="32"/>
                          </w:rPr>
                          <w:t>for</w:t>
                        </w:r>
                        <w:r>
                          <w:rPr>
                            <w:color w:val="231F20"/>
                            <w:spacing w:val="-10"/>
                            <w:sz w:val="32"/>
                          </w:rPr>
                          <w:t> </w:t>
                        </w:r>
                        <w:r>
                          <w:rPr>
                            <w:color w:val="231F20"/>
                            <w:sz w:val="32"/>
                          </w:rPr>
                          <w:t>professional</w:t>
                        </w:r>
                        <w:r>
                          <w:rPr>
                            <w:color w:val="231F20"/>
                            <w:spacing w:val="-10"/>
                            <w:sz w:val="32"/>
                          </w:rPr>
                          <w:t> </w:t>
                        </w:r>
                        <w:r>
                          <w:rPr>
                            <w:color w:val="231F20"/>
                            <w:sz w:val="32"/>
                          </w:rPr>
                          <w:t>development,</w:t>
                        </w:r>
                        <w:r>
                          <w:rPr>
                            <w:color w:val="231F20"/>
                            <w:spacing w:val="-10"/>
                            <w:sz w:val="32"/>
                          </w:rPr>
                          <w:t> </w:t>
                        </w:r>
                        <w:r>
                          <w:rPr>
                            <w:color w:val="231F20"/>
                            <w:sz w:val="32"/>
                          </w:rPr>
                          <w:t>barriers to employment for those deaf employees.</w:t>
                        </w:r>
                      </w:p>
                    </w:txbxContent>
                  </v:textbox>
                  <w10:wrap type="none"/>
                </v:shape>
                <v:shape style="position:absolute;left:1479;top:6637;width:1460;height:358" type="#_x0000_t202" id="docshape12" filled="false" stroked="false">
                  <v:textbox inset="0,0,0,0">
                    <w:txbxContent>
                      <w:p>
                        <w:pPr>
                          <w:spacing w:before="0"/>
                          <w:ind w:left="0" w:right="0" w:firstLine="0"/>
                          <w:jc w:val="left"/>
                          <w:rPr>
                            <w:rFonts w:ascii="Museo Sans Rounded 700"/>
                            <w:b/>
                            <w:sz w:val="30"/>
                          </w:rPr>
                        </w:pPr>
                        <w:r>
                          <w:rPr>
                            <w:rFonts w:ascii="Museo Sans Rounded 700"/>
                            <w:b/>
                            <w:color w:val="231F20"/>
                            <w:spacing w:val="-2"/>
                            <w:sz w:val="30"/>
                          </w:rPr>
                          <w:t>Accessible</w:t>
                        </w:r>
                      </w:p>
                    </w:txbxContent>
                  </v:textbox>
                  <w10:wrap type="none"/>
                </v:shape>
                <v:shape style="position:absolute;left:4964;top:6637;width:509;height:358" type="#_x0000_t202" id="docshape13" filled="false" stroked="false">
                  <v:textbox inset="0,0,0,0">
                    <w:txbxContent>
                      <w:p>
                        <w:pPr>
                          <w:spacing w:before="0"/>
                          <w:ind w:left="0" w:right="0" w:firstLine="0"/>
                          <w:jc w:val="left"/>
                          <w:rPr>
                            <w:rFonts w:ascii="Museo Sans Rounded 700"/>
                            <w:b/>
                            <w:sz w:val="30"/>
                          </w:rPr>
                        </w:pPr>
                        <w:r>
                          <w:rPr>
                            <w:rFonts w:ascii="Museo Sans Rounded 700"/>
                            <w:b/>
                            <w:color w:val="231F20"/>
                            <w:spacing w:val="-4"/>
                            <w:sz w:val="30"/>
                          </w:rPr>
                          <w:t>Fair</w:t>
                        </w:r>
                      </w:p>
                    </w:txbxContent>
                  </v:textbox>
                  <w10:wrap type="none"/>
                </v:shape>
                <v:shape style="position:absolute;left:7458;top:6637;width:1527;height:358" type="#_x0000_t202" id="docshape14" filled="false" stroked="false">
                  <v:textbox inset="0,0,0,0">
                    <w:txbxContent>
                      <w:p>
                        <w:pPr>
                          <w:spacing w:before="0"/>
                          <w:ind w:left="0" w:right="0" w:firstLine="0"/>
                          <w:jc w:val="left"/>
                          <w:rPr>
                            <w:rFonts w:ascii="Museo Sans Rounded 700"/>
                            <w:b/>
                            <w:sz w:val="30"/>
                          </w:rPr>
                        </w:pPr>
                        <w:r>
                          <w:rPr>
                            <w:rFonts w:ascii="Museo Sans Rounded 700"/>
                            <w:b/>
                            <w:color w:val="231F20"/>
                            <w:spacing w:val="-2"/>
                            <w:sz w:val="30"/>
                          </w:rPr>
                          <w:t>Supportive</w:t>
                        </w:r>
                      </w:p>
                    </w:txbxContent>
                  </v:textbox>
                  <w10:wrap type="none"/>
                </v:shape>
                <w10:wrap type="none"/>
              </v:group>
            </w:pict>
          </mc:Fallback>
        </mc:AlternateContent>
      </w:r>
      <w:r>
        <w:rPr/>
        <mc:AlternateContent>
          <mc:Choice Requires="wps">
            <w:drawing>
              <wp:anchor distT="0" distB="0" distL="0" distR="0" allowOverlap="1" layoutInCell="1" locked="0" behindDoc="0" simplePos="0" relativeHeight="15729664">
                <wp:simplePos x="0" y="0"/>
                <wp:positionH relativeFrom="page">
                  <wp:posOffset>0</wp:posOffset>
                </wp:positionH>
                <wp:positionV relativeFrom="page">
                  <wp:posOffset>10353332</wp:posOffset>
                </wp:positionV>
                <wp:extent cx="7560309" cy="339090"/>
                <wp:effectExtent l="0" t="0" r="0" b="0"/>
                <wp:wrapNone/>
                <wp:docPr id="15" name="Group 15"/>
                <wp:cNvGraphicFramePr>
                  <a:graphicFrameLocks/>
                </wp:cNvGraphicFramePr>
                <a:graphic>
                  <a:graphicData uri="http://schemas.microsoft.com/office/word/2010/wordprocessingGroup">
                    <wpg:wgp>
                      <wpg:cNvPr id="15" name="Group 15"/>
                      <wpg:cNvGrpSpPr/>
                      <wpg:grpSpPr>
                        <a:xfrm>
                          <a:off x="0" y="0"/>
                          <a:ext cx="7560309" cy="339090"/>
                          <a:chExt cx="7560309" cy="339090"/>
                        </a:xfrm>
                      </wpg:grpSpPr>
                      <wps:wsp>
                        <wps:cNvPr id="16" name="Graphic 16"/>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wps:wsp>
                        <wps:cNvPr id="17" name="Textbox 17"/>
                        <wps:cNvSpPr txBox="1"/>
                        <wps:spPr>
                          <a:xfrm>
                            <a:off x="7117564" y="103158"/>
                            <a:ext cx="76835" cy="136525"/>
                          </a:xfrm>
                          <a:prstGeom prst="rect">
                            <a:avLst/>
                          </a:prstGeom>
                        </wps:spPr>
                        <wps:txbx>
                          <w:txbxContent>
                            <w:p>
                              <w:pPr>
                                <w:spacing w:before="0"/>
                                <w:ind w:left="0" w:right="0" w:firstLine="0"/>
                                <w:jc w:val="left"/>
                                <w:rPr>
                                  <w:rFonts w:ascii="Museo Sans Rounded 500"/>
                                  <w:sz w:val="18"/>
                                </w:rPr>
                              </w:pPr>
                              <w:r>
                                <w:rPr>
                                  <w:rFonts w:ascii="Museo Sans Rounded 500"/>
                                  <w:color w:val="231F20"/>
                                  <w:spacing w:val="-10"/>
                                  <w:sz w:val="18"/>
                                </w:rPr>
                                <w:t>2</w:t>
                              </w:r>
                            </w:p>
                          </w:txbxContent>
                        </wps:txbx>
                        <wps:bodyPr wrap="square" lIns="0" tIns="0" rIns="0" bIns="0" rtlCol="0">
                          <a:noAutofit/>
                        </wps:bodyPr>
                      </wps:wsp>
                    </wpg:wgp>
                  </a:graphicData>
                </a:graphic>
              </wp:anchor>
            </w:drawing>
          </mc:Choice>
          <mc:Fallback>
            <w:pict>
              <v:group style="position:absolute;margin-left:0pt;margin-top:815.223022pt;width:595.3pt;height:26.7pt;mso-position-horizontal-relative:page;mso-position-vertical-relative:page;z-index:15729664" id="docshapegroup15" coordorigin="0,16304" coordsize="11906,534">
                <v:rect style="position:absolute;left:0;top:16304;width:11906;height:534" id="docshape16" filled="true" fillcolor="#efa007" stroked="false">
                  <v:fill type="solid"/>
                </v:rect>
                <v:shape style="position:absolute;left:11208;top:16466;width:121;height:215" type="#_x0000_t202" id="docshape17" filled="false" stroked="false">
                  <v:textbox inset="0,0,0,0">
                    <w:txbxContent>
                      <w:p>
                        <w:pPr>
                          <w:spacing w:before="0"/>
                          <w:ind w:left="0" w:right="0" w:firstLine="0"/>
                          <w:jc w:val="left"/>
                          <w:rPr>
                            <w:rFonts w:ascii="Museo Sans Rounded 500"/>
                            <w:sz w:val="18"/>
                          </w:rPr>
                        </w:pPr>
                        <w:r>
                          <w:rPr>
                            <w:rFonts w:ascii="Museo Sans Rounded 500"/>
                            <w:color w:val="231F20"/>
                            <w:spacing w:val="-10"/>
                            <w:sz w:val="18"/>
                          </w:rPr>
                          <w:t>2</w:t>
                        </w:r>
                      </w:p>
                    </w:txbxContent>
                  </v:textbox>
                  <w10:wrap type="none"/>
                </v:shape>
                <w10:wrap type="none"/>
              </v:group>
            </w:pict>
          </mc:Fallback>
        </mc:AlternateContent>
      </w: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rPr>
          <w:rFonts w:ascii="Museo Sans Rounded 500"/>
          <w:sz w:val="40"/>
        </w:rPr>
      </w:pPr>
    </w:p>
    <w:p>
      <w:pPr>
        <w:pStyle w:val="BodyText"/>
        <w:spacing w:before="339"/>
        <w:rPr>
          <w:rFonts w:ascii="Museo Sans Rounded 500"/>
          <w:sz w:val="40"/>
        </w:rPr>
      </w:pPr>
    </w:p>
    <w:p>
      <w:pPr>
        <w:pStyle w:val="Heading1"/>
        <w:spacing w:before="1"/>
        <w:ind w:left="754" w:right="3847"/>
        <w:rPr>
          <w:rFonts w:ascii="Museo Sans 500"/>
        </w:rPr>
      </w:pPr>
      <w:r>
        <w:rPr>
          <w:rFonts w:ascii="Museo Sans 500"/>
          <w:color w:val="231F20"/>
        </w:rPr>
        <w:t>Importance</w:t>
      </w:r>
      <w:r>
        <w:rPr>
          <w:rFonts w:ascii="Museo Sans 500"/>
          <w:color w:val="231F20"/>
          <w:spacing w:val="-12"/>
        </w:rPr>
        <w:t> </w:t>
      </w:r>
      <w:r>
        <w:rPr>
          <w:rFonts w:ascii="Museo Sans 500"/>
          <w:color w:val="231F20"/>
        </w:rPr>
        <w:t>of</w:t>
      </w:r>
      <w:r>
        <w:rPr>
          <w:rFonts w:ascii="Museo Sans 500"/>
          <w:color w:val="231F20"/>
          <w:spacing w:val="-12"/>
        </w:rPr>
        <w:t> </w:t>
      </w:r>
      <w:r>
        <w:rPr>
          <w:rFonts w:ascii="Museo Sans 500"/>
          <w:color w:val="231F20"/>
        </w:rPr>
        <w:t>inclusive</w:t>
      </w:r>
      <w:r>
        <w:rPr>
          <w:rFonts w:ascii="Museo Sans 500"/>
          <w:color w:val="231F20"/>
          <w:spacing w:val="-12"/>
        </w:rPr>
        <w:t> </w:t>
      </w:r>
      <w:r>
        <w:rPr>
          <w:rFonts w:ascii="Museo Sans 500"/>
          <w:color w:val="231F20"/>
        </w:rPr>
        <w:t>policies and practices in the workplace</w:t>
      </w:r>
    </w:p>
    <w:p>
      <w:pPr>
        <w:pStyle w:val="BodyText"/>
        <w:spacing w:before="213"/>
        <w:ind w:left="754" w:right="2565"/>
      </w:pPr>
      <w:r>
        <w:rPr>
          <w:color w:val="231F20"/>
        </w:rPr>
        <w:t>Inclusive policies and practices play a pivotal role in ensuring a fair, accessible, and supportive work environment for people with disabilities, however for deaf individuals it is much more complex than some simple inclusive</w:t>
      </w:r>
      <w:r>
        <w:rPr>
          <w:color w:val="231F20"/>
          <w:spacing w:val="-5"/>
        </w:rPr>
        <w:t> </w:t>
      </w:r>
      <w:r>
        <w:rPr>
          <w:color w:val="231F20"/>
        </w:rPr>
        <w:t>predominantly</w:t>
      </w:r>
      <w:r>
        <w:rPr>
          <w:color w:val="231F20"/>
          <w:spacing w:val="-5"/>
        </w:rPr>
        <w:t> </w:t>
      </w:r>
      <w:r>
        <w:rPr>
          <w:color w:val="231F20"/>
        </w:rPr>
        <w:t>hearing-based</w:t>
      </w:r>
      <w:r>
        <w:rPr>
          <w:color w:val="231F20"/>
          <w:spacing w:val="-5"/>
        </w:rPr>
        <w:t> </w:t>
      </w:r>
      <w:r>
        <w:rPr>
          <w:color w:val="231F20"/>
        </w:rPr>
        <w:t>practices.</w:t>
      </w:r>
      <w:r>
        <w:rPr>
          <w:color w:val="231F20"/>
          <w:spacing w:val="-5"/>
        </w:rPr>
        <w:t> </w:t>
      </w:r>
      <w:r>
        <w:rPr>
          <w:color w:val="231F20"/>
        </w:rPr>
        <w:t>When</w:t>
      </w:r>
      <w:r>
        <w:rPr>
          <w:color w:val="231F20"/>
          <w:spacing w:val="-5"/>
        </w:rPr>
        <w:t> </w:t>
      </w:r>
      <w:r>
        <w:rPr>
          <w:color w:val="231F20"/>
        </w:rPr>
        <w:t>the</w:t>
      </w:r>
      <w:r>
        <w:rPr>
          <w:color w:val="231F20"/>
          <w:spacing w:val="-5"/>
        </w:rPr>
        <w:t> </w:t>
      </w:r>
      <w:r>
        <w:rPr>
          <w:color w:val="231F20"/>
        </w:rPr>
        <w:t>AIDE</w:t>
      </w:r>
      <w:r>
        <w:rPr>
          <w:color w:val="231F20"/>
          <w:spacing w:val="-5"/>
        </w:rPr>
        <w:t> </w:t>
      </w:r>
      <w:r>
        <w:rPr>
          <w:color w:val="231F20"/>
        </w:rPr>
        <w:t>framework and principles here are being followed, employers and businesses will be able to cater for their deaf employees the best they can. By adopting Deaf Australia’s AIDE model, employers not only follow legal requirements but also prove a commitment to accessibility, diversity, equity, and inclusion.</w:t>
      </w:r>
    </w:p>
    <w:p>
      <w:pPr>
        <w:pStyle w:val="BodyText"/>
        <w:spacing w:before="120"/>
        <w:ind w:left="754" w:right="2565"/>
      </w:pPr>
      <w:r>
        <w:rPr>
          <w:color w:val="231F20"/>
        </w:rPr>
        <w:t>Employers and businesses are asked to promote inclusive employment practices. They are encouraged to advocate for equal opportunities, reasonable accommodations, and accessible communication in the workplace.</w:t>
      </w:r>
      <w:r>
        <w:rPr>
          <w:color w:val="231F20"/>
          <w:spacing w:val="-4"/>
        </w:rPr>
        <w:t> </w:t>
      </w:r>
      <w:r>
        <w:rPr>
          <w:color w:val="231F20"/>
        </w:rPr>
        <w:t>Also,</w:t>
      </w:r>
      <w:r>
        <w:rPr>
          <w:color w:val="231F20"/>
          <w:spacing w:val="-4"/>
        </w:rPr>
        <w:t> </w:t>
      </w:r>
      <w:r>
        <w:rPr>
          <w:color w:val="231F20"/>
        </w:rPr>
        <w:t>the</w:t>
      </w:r>
      <w:r>
        <w:rPr>
          <w:color w:val="231F20"/>
          <w:spacing w:val="-4"/>
        </w:rPr>
        <w:t> </w:t>
      </w:r>
      <w:r>
        <w:rPr>
          <w:color w:val="231F20"/>
        </w:rPr>
        <w:t>engagement</w:t>
      </w:r>
      <w:r>
        <w:rPr>
          <w:color w:val="231F20"/>
          <w:spacing w:val="-4"/>
        </w:rPr>
        <w:t> </w:t>
      </w:r>
      <w:r>
        <w:rPr>
          <w:color w:val="231F20"/>
        </w:rPr>
        <w:t>with</w:t>
      </w:r>
      <w:r>
        <w:rPr>
          <w:color w:val="231F20"/>
          <w:spacing w:val="-4"/>
        </w:rPr>
        <w:t> </w:t>
      </w:r>
      <w:r>
        <w:rPr>
          <w:color w:val="231F20"/>
        </w:rPr>
        <w:t>Deaf</w:t>
      </w:r>
      <w:r>
        <w:rPr>
          <w:color w:val="231F20"/>
          <w:spacing w:val="-4"/>
        </w:rPr>
        <w:t> </w:t>
      </w:r>
      <w:r>
        <w:rPr>
          <w:color w:val="231F20"/>
        </w:rPr>
        <w:t>community</w:t>
      </w:r>
      <w:r>
        <w:rPr>
          <w:color w:val="231F20"/>
          <w:spacing w:val="-4"/>
        </w:rPr>
        <w:t> </w:t>
      </w:r>
      <w:r>
        <w:rPr>
          <w:color w:val="231F20"/>
        </w:rPr>
        <w:t>to</w:t>
      </w:r>
      <w:r>
        <w:rPr>
          <w:color w:val="231F20"/>
          <w:spacing w:val="-4"/>
        </w:rPr>
        <w:t> </w:t>
      </w:r>
      <w:r>
        <w:rPr>
          <w:color w:val="231F20"/>
        </w:rPr>
        <w:t>encourage</w:t>
      </w:r>
      <w:r>
        <w:rPr>
          <w:color w:val="231F20"/>
          <w:spacing w:val="-4"/>
        </w:rPr>
        <w:t> </w:t>
      </w:r>
      <w:r>
        <w:rPr>
          <w:color w:val="231F20"/>
        </w:rPr>
        <w:t>deaf people to consider applying and working for them when they receive the signs that employers are valuing their diverse perspectives and skills.</w:t>
      </w:r>
    </w:p>
    <w:p>
      <w:pPr>
        <w:pStyle w:val="BodyText"/>
        <w:spacing w:before="120"/>
        <w:ind w:left="754" w:right="2086"/>
      </w:pPr>
      <w:r>
        <w:rPr>
          <w:color w:val="231F20"/>
        </w:rPr>
        <w:t>Considerations need to be taken when advertising and hiring for workers and deaf</w:t>
      </w:r>
      <w:r>
        <w:rPr>
          <w:color w:val="231F20"/>
          <w:spacing w:val="-3"/>
        </w:rPr>
        <w:t> </w:t>
      </w:r>
      <w:r>
        <w:rPr>
          <w:color w:val="231F20"/>
        </w:rPr>
        <w:t>people</w:t>
      </w:r>
      <w:r>
        <w:rPr>
          <w:color w:val="231F20"/>
          <w:spacing w:val="-3"/>
        </w:rPr>
        <w:t> </w:t>
      </w:r>
      <w:r>
        <w:rPr>
          <w:color w:val="231F20"/>
        </w:rPr>
        <w:t>applying</w:t>
      </w:r>
      <w:r>
        <w:rPr>
          <w:color w:val="231F20"/>
          <w:spacing w:val="-3"/>
        </w:rPr>
        <w:t> </w:t>
      </w:r>
      <w:r>
        <w:rPr>
          <w:color w:val="231F20"/>
        </w:rPr>
        <w:t>for</w:t>
      </w:r>
      <w:r>
        <w:rPr>
          <w:color w:val="231F20"/>
          <w:spacing w:val="-3"/>
        </w:rPr>
        <w:t> </w:t>
      </w:r>
      <w:r>
        <w:rPr>
          <w:color w:val="231F20"/>
        </w:rPr>
        <w:t>the</w:t>
      </w:r>
      <w:r>
        <w:rPr>
          <w:color w:val="231F20"/>
          <w:spacing w:val="-3"/>
        </w:rPr>
        <w:t> </w:t>
      </w:r>
      <w:r>
        <w:rPr>
          <w:color w:val="231F20"/>
        </w:rPr>
        <w:t>positions.</w:t>
      </w:r>
      <w:r>
        <w:rPr>
          <w:color w:val="231F20"/>
          <w:spacing w:val="-3"/>
        </w:rPr>
        <w:t> </w:t>
      </w:r>
      <w:r>
        <w:rPr>
          <w:color w:val="231F20"/>
        </w:rPr>
        <w:t>Ensure</w:t>
      </w:r>
      <w:r>
        <w:rPr>
          <w:color w:val="231F20"/>
          <w:spacing w:val="-3"/>
        </w:rPr>
        <w:t> </w:t>
      </w:r>
      <w:r>
        <w:rPr>
          <w:color w:val="231F20"/>
        </w:rPr>
        <w:t>there</w:t>
      </w:r>
      <w:r>
        <w:rPr>
          <w:color w:val="231F20"/>
          <w:spacing w:val="-3"/>
        </w:rPr>
        <w:t> </w:t>
      </w:r>
      <w:r>
        <w:rPr>
          <w:color w:val="231F20"/>
        </w:rPr>
        <w:t>is</w:t>
      </w:r>
      <w:r>
        <w:rPr>
          <w:color w:val="231F20"/>
          <w:spacing w:val="-3"/>
        </w:rPr>
        <w:t> </w:t>
      </w:r>
      <w:r>
        <w:rPr>
          <w:color w:val="231F20"/>
        </w:rPr>
        <w:t>provisions</w:t>
      </w:r>
      <w:r>
        <w:rPr>
          <w:color w:val="231F20"/>
          <w:spacing w:val="-3"/>
        </w:rPr>
        <w:t> </w:t>
      </w:r>
      <w:r>
        <w:rPr>
          <w:color w:val="231F20"/>
        </w:rPr>
        <w:t>in</w:t>
      </w:r>
      <w:r>
        <w:rPr>
          <w:color w:val="231F20"/>
          <w:spacing w:val="-3"/>
        </w:rPr>
        <w:t> </w:t>
      </w:r>
      <w:r>
        <w:rPr>
          <w:color w:val="231F20"/>
        </w:rPr>
        <w:t>place</w:t>
      </w:r>
      <w:r>
        <w:rPr>
          <w:color w:val="231F20"/>
          <w:spacing w:val="-3"/>
        </w:rPr>
        <w:t> </w:t>
      </w:r>
      <w:r>
        <w:rPr>
          <w:color w:val="231F20"/>
        </w:rPr>
        <w:t>to</w:t>
      </w:r>
      <w:r>
        <w:rPr>
          <w:color w:val="231F20"/>
          <w:spacing w:val="-3"/>
        </w:rPr>
        <w:t> </w:t>
      </w:r>
      <w:r>
        <w:rPr>
          <w:color w:val="231F20"/>
        </w:rPr>
        <w:t>have accommodations readily available when asked, such as Auslan interpreters.</w:t>
      </w:r>
    </w:p>
    <w:p>
      <w:pPr>
        <w:spacing w:after="0"/>
        <w:sectPr>
          <w:pgSz w:w="11910" w:h="16840"/>
          <w:pgMar w:top="0" w:bottom="0" w:left="380" w:right="420"/>
        </w:sectPr>
      </w:pPr>
    </w:p>
    <w:p>
      <w:pPr>
        <w:pStyle w:val="BodyText"/>
        <w:rPr>
          <w:sz w:val="40"/>
        </w:rPr>
      </w:pPr>
    </w:p>
    <w:p>
      <w:pPr>
        <w:pStyle w:val="BodyText"/>
        <w:spacing w:before="189"/>
        <w:rPr>
          <w:sz w:val="40"/>
        </w:rPr>
      </w:pPr>
    </w:p>
    <w:p>
      <w:pPr>
        <w:pStyle w:val="Heading1"/>
        <w:rPr>
          <w:rFonts w:ascii="Museo Sans 500"/>
        </w:rPr>
      </w:pPr>
      <w:r>
        <w:rPr>
          <w:rFonts w:ascii="Museo Sans 500"/>
          <w:color w:val="231F20"/>
        </w:rPr>
        <w:t>Things to </w:t>
      </w:r>
      <w:r>
        <w:rPr>
          <w:rFonts w:ascii="Museo Sans 500"/>
          <w:color w:val="231F20"/>
          <w:spacing w:val="-2"/>
        </w:rPr>
        <w:t>consider</w:t>
      </w:r>
    </w:p>
    <w:p>
      <w:pPr>
        <w:pStyle w:val="BodyText"/>
        <w:spacing w:before="66"/>
        <w:rPr>
          <w:sz w:val="20"/>
        </w:rPr>
      </w:pPr>
    </w:p>
    <w:p>
      <w:pPr>
        <w:spacing w:after="0"/>
        <w:rPr>
          <w:sz w:val="20"/>
        </w:rPr>
        <w:sectPr>
          <w:headerReference w:type="default" r:id="rId10"/>
          <w:pgSz w:w="11910" w:h="16840"/>
          <w:pgMar w:header="0" w:footer="0" w:top="520" w:bottom="0" w:left="380" w:right="420"/>
        </w:sectPr>
      </w:pPr>
    </w:p>
    <w:p>
      <w:pPr>
        <w:pStyle w:val="Heading2"/>
        <w:numPr>
          <w:ilvl w:val="0"/>
          <w:numId w:val="1"/>
        </w:numPr>
        <w:tabs>
          <w:tab w:pos="426" w:val="left" w:leader="none"/>
        </w:tabs>
        <w:spacing w:line="240" w:lineRule="auto" w:before="93" w:after="0"/>
        <w:ind w:left="426" w:right="0" w:hanging="320"/>
        <w:jc w:val="left"/>
      </w:pPr>
      <w:r>
        <w:rPr>
          <w:color w:val="231F20"/>
        </w:rPr>
        <w:t>Equal Employment </w:t>
      </w:r>
      <w:r>
        <w:rPr>
          <w:color w:val="231F20"/>
          <w:spacing w:val="-2"/>
        </w:rPr>
        <w:t>Opportunity</w:t>
      </w:r>
    </w:p>
    <w:p>
      <w:pPr>
        <w:pStyle w:val="BodyText"/>
        <w:spacing w:before="174"/>
        <w:ind w:left="466" w:right="38"/>
      </w:pPr>
      <w:r>
        <w:rPr>
          <w:color w:val="231F20"/>
        </w:rPr>
        <w:t>Employers and businesses need to ensure that hiring,</w:t>
      </w:r>
      <w:r>
        <w:rPr>
          <w:color w:val="231F20"/>
          <w:spacing w:val="-7"/>
        </w:rPr>
        <w:t> </w:t>
      </w:r>
      <w:r>
        <w:rPr>
          <w:color w:val="231F20"/>
        </w:rPr>
        <w:t>promotion,</w:t>
      </w:r>
      <w:r>
        <w:rPr>
          <w:color w:val="231F20"/>
          <w:spacing w:val="-7"/>
        </w:rPr>
        <w:t> </w:t>
      </w:r>
      <w:r>
        <w:rPr>
          <w:color w:val="231F20"/>
        </w:rPr>
        <w:t>and</w:t>
      </w:r>
      <w:r>
        <w:rPr>
          <w:color w:val="231F20"/>
          <w:spacing w:val="-7"/>
        </w:rPr>
        <w:t> </w:t>
      </w:r>
      <w:r>
        <w:rPr>
          <w:color w:val="231F20"/>
        </w:rPr>
        <w:t>advancement</w:t>
      </w:r>
      <w:r>
        <w:rPr>
          <w:color w:val="231F20"/>
          <w:spacing w:val="-7"/>
        </w:rPr>
        <w:t> </w:t>
      </w:r>
      <w:r>
        <w:rPr>
          <w:color w:val="231F20"/>
        </w:rPr>
        <w:t>decisions are</w:t>
      </w:r>
      <w:r>
        <w:rPr>
          <w:color w:val="231F20"/>
          <w:spacing w:val="-7"/>
        </w:rPr>
        <w:t> </w:t>
      </w:r>
      <w:r>
        <w:rPr>
          <w:color w:val="231F20"/>
        </w:rPr>
        <w:t>based</w:t>
      </w:r>
      <w:r>
        <w:rPr>
          <w:color w:val="231F20"/>
          <w:spacing w:val="-7"/>
        </w:rPr>
        <w:t> </w:t>
      </w:r>
      <w:r>
        <w:rPr>
          <w:color w:val="231F20"/>
        </w:rPr>
        <w:t>on</w:t>
      </w:r>
      <w:r>
        <w:rPr>
          <w:color w:val="231F20"/>
          <w:spacing w:val="-7"/>
        </w:rPr>
        <w:t> </w:t>
      </w:r>
      <w:r>
        <w:rPr>
          <w:color w:val="231F20"/>
        </w:rPr>
        <w:t>merit,</w:t>
      </w:r>
      <w:r>
        <w:rPr>
          <w:color w:val="231F20"/>
          <w:spacing w:val="-7"/>
        </w:rPr>
        <w:t> </w:t>
      </w:r>
      <w:r>
        <w:rPr>
          <w:color w:val="231F20"/>
        </w:rPr>
        <w:t>qualifications,</w:t>
      </w:r>
      <w:r>
        <w:rPr>
          <w:color w:val="231F20"/>
          <w:spacing w:val="-7"/>
        </w:rPr>
        <w:t> </w:t>
      </w:r>
      <w:r>
        <w:rPr>
          <w:color w:val="231F20"/>
        </w:rPr>
        <w:t>and</w:t>
      </w:r>
      <w:r>
        <w:rPr>
          <w:color w:val="231F20"/>
          <w:spacing w:val="-7"/>
        </w:rPr>
        <w:t> </w:t>
      </w:r>
      <w:r>
        <w:rPr>
          <w:color w:val="231F20"/>
        </w:rPr>
        <w:t>abilities, rather than disability status. There is a risk of tokenism; a means to put a tick to progress</w:t>
      </w:r>
    </w:p>
    <w:p>
      <w:pPr>
        <w:pStyle w:val="BodyText"/>
        <w:ind w:left="466" w:right="38"/>
      </w:pPr>
      <w:r>
        <w:rPr>
          <w:color w:val="231F20"/>
        </w:rPr>
        <w:t>at the workplace when being challenged to provide a placement for person with disability and</w:t>
      </w:r>
      <w:r>
        <w:rPr>
          <w:color w:val="231F20"/>
          <w:spacing w:val="-5"/>
        </w:rPr>
        <w:t> </w:t>
      </w:r>
      <w:r>
        <w:rPr>
          <w:color w:val="231F20"/>
        </w:rPr>
        <w:t>going</w:t>
      </w:r>
      <w:r>
        <w:rPr>
          <w:color w:val="231F20"/>
          <w:spacing w:val="-5"/>
        </w:rPr>
        <w:t> </w:t>
      </w:r>
      <w:r>
        <w:rPr>
          <w:color w:val="231F20"/>
        </w:rPr>
        <w:t>with</w:t>
      </w:r>
      <w:r>
        <w:rPr>
          <w:color w:val="231F20"/>
          <w:spacing w:val="-5"/>
        </w:rPr>
        <w:t> </w:t>
      </w:r>
      <w:r>
        <w:rPr>
          <w:color w:val="231F20"/>
        </w:rPr>
        <w:t>the</w:t>
      </w:r>
      <w:r>
        <w:rPr>
          <w:color w:val="231F20"/>
          <w:spacing w:val="-5"/>
        </w:rPr>
        <w:t> </w:t>
      </w:r>
      <w:r>
        <w:rPr>
          <w:color w:val="231F20"/>
        </w:rPr>
        <w:t>deaf</w:t>
      </w:r>
      <w:r>
        <w:rPr>
          <w:color w:val="231F20"/>
          <w:spacing w:val="-5"/>
        </w:rPr>
        <w:t> </w:t>
      </w:r>
      <w:r>
        <w:rPr>
          <w:color w:val="231F20"/>
        </w:rPr>
        <w:t>(usually</w:t>
      </w:r>
      <w:r>
        <w:rPr>
          <w:color w:val="231F20"/>
          <w:spacing w:val="-5"/>
        </w:rPr>
        <w:t> </w:t>
      </w:r>
      <w:r>
        <w:rPr>
          <w:color w:val="231F20"/>
        </w:rPr>
        <w:t>hard</w:t>
      </w:r>
      <w:r>
        <w:rPr>
          <w:color w:val="231F20"/>
          <w:spacing w:val="-5"/>
        </w:rPr>
        <w:t> </w:t>
      </w:r>
      <w:r>
        <w:rPr>
          <w:color w:val="231F20"/>
        </w:rPr>
        <w:t>of</w:t>
      </w:r>
      <w:r>
        <w:rPr>
          <w:color w:val="231F20"/>
          <w:spacing w:val="-5"/>
        </w:rPr>
        <w:t> </w:t>
      </w:r>
      <w:r>
        <w:rPr>
          <w:color w:val="231F20"/>
        </w:rPr>
        <w:t>hearing) with the least accommodations needed.</w:t>
      </w:r>
    </w:p>
    <w:p>
      <w:pPr>
        <w:pStyle w:val="BodyText"/>
        <w:spacing w:before="122"/>
      </w:pPr>
    </w:p>
    <w:p>
      <w:pPr>
        <w:pStyle w:val="Heading2"/>
        <w:numPr>
          <w:ilvl w:val="0"/>
          <w:numId w:val="1"/>
        </w:numPr>
        <w:tabs>
          <w:tab w:pos="452" w:val="left" w:leader="none"/>
        </w:tabs>
        <w:spacing w:line="240" w:lineRule="auto" w:before="0" w:after="0"/>
        <w:ind w:left="452" w:right="0" w:hanging="346"/>
        <w:jc w:val="left"/>
      </w:pPr>
      <w:r>
        <w:rPr>
          <w:color w:val="231F20"/>
        </w:rPr>
        <w:t>Communication </w:t>
      </w:r>
      <w:r>
        <w:rPr>
          <w:color w:val="231F20"/>
          <w:spacing w:val="-2"/>
        </w:rPr>
        <w:t>Accessibility</w:t>
      </w:r>
    </w:p>
    <w:p>
      <w:pPr>
        <w:pStyle w:val="BodyText"/>
        <w:spacing w:before="174"/>
        <w:ind w:left="466" w:right="38"/>
      </w:pPr>
      <w:r>
        <w:rPr>
          <w:color w:val="231F20"/>
        </w:rPr>
        <w:t>Businesses and employers are bound to oversee the provision of accessible communication methods. This includes sign language interpreters, captioning, and/or assistive technology,</w:t>
      </w:r>
      <w:r>
        <w:rPr>
          <w:color w:val="231F20"/>
          <w:spacing w:val="-10"/>
        </w:rPr>
        <w:t> </w:t>
      </w:r>
      <w:r>
        <w:rPr>
          <w:color w:val="231F20"/>
        </w:rPr>
        <w:t>to</w:t>
      </w:r>
      <w:r>
        <w:rPr>
          <w:color w:val="231F20"/>
          <w:spacing w:val="-10"/>
        </w:rPr>
        <w:t> </w:t>
      </w:r>
      <w:r>
        <w:rPr>
          <w:color w:val="231F20"/>
        </w:rPr>
        <w:t>help</w:t>
      </w:r>
      <w:r>
        <w:rPr>
          <w:color w:val="231F20"/>
          <w:spacing w:val="-10"/>
        </w:rPr>
        <w:t> </w:t>
      </w:r>
      <w:r>
        <w:rPr>
          <w:color w:val="231F20"/>
        </w:rPr>
        <w:t>effective</w:t>
      </w:r>
      <w:r>
        <w:rPr>
          <w:color w:val="231F20"/>
          <w:spacing w:val="-10"/>
        </w:rPr>
        <w:t> </w:t>
      </w:r>
      <w:r>
        <w:rPr>
          <w:color w:val="231F20"/>
        </w:rPr>
        <w:t>interaction</w:t>
      </w:r>
      <w:r>
        <w:rPr>
          <w:color w:val="231F20"/>
          <w:spacing w:val="-10"/>
        </w:rPr>
        <w:t> </w:t>
      </w:r>
      <w:r>
        <w:rPr>
          <w:color w:val="231F20"/>
        </w:rPr>
        <w:t>for</w:t>
      </w:r>
      <w:r>
        <w:rPr>
          <w:color w:val="231F20"/>
          <w:spacing w:val="-10"/>
        </w:rPr>
        <w:t> </w:t>
      </w:r>
      <w:r>
        <w:rPr>
          <w:color w:val="231F20"/>
        </w:rPr>
        <w:t>deaf employees without any restrictions. They know there are means for supports for this to happen, such as the Employment Assistance Fund (EAF) under Job Access (https://www.jobaccess. </w:t>
      </w:r>
      <w:r>
        <w:rPr>
          <w:color w:val="231F20"/>
          <w:spacing w:val="-2"/>
        </w:rPr>
        <w:t>gov.au/employment-assistance-fund-eaf).</w:t>
      </w:r>
    </w:p>
    <w:p>
      <w:pPr>
        <w:pStyle w:val="Heading2"/>
        <w:numPr>
          <w:ilvl w:val="0"/>
          <w:numId w:val="1"/>
        </w:numPr>
        <w:tabs>
          <w:tab w:pos="447" w:val="left" w:leader="none"/>
        </w:tabs>
        <w:spacing w:line="240" w:lineRule="auto" w:before="93" w:after="0"/>
        <w:ind w:left="447" w:right="0" w:hanging="341"/>
        <w:jc w:val="left"/>
      </w:pPr>
      <w:r>
        <w:rPr>
          <w:b w:val="0"/>
        </w:rPr>
        <w:br w:type="column"/>
      </w:r>
      <w:r>
        <w:rPr>
          <w:color w:val="231F20"/>
        </w:rPr>
        <w:t>Reasonable</w:t>
      </w:r>
      <w:r>
        <w:rPr>
          <w:color w:val="231F20"/>
          <w:spacing w:val="-4"/>
        </w:rPr>
        <w:t> </w:t>
      </w:r>
      <w:r>
        <w:rPr>
          <w:color w:val="231F20"/>
          <w:spacing w:val="-2"/>
        </w:rPr>
        <w:t>Accommodations</w:t>
      </w:r>
    </w:p>
    <w:p>
      <w:pPr>
        <w:pStyle w:val="BodyText"/>
        <w:spacing w:before="174"/>
        <w:ind w:left="466" w:right="330"/>
      </w:pPr>
      <w:r>
        <w:rPr>
          <w:color w:val="231F20"/>
        </w:rPr>
        <w:t>Employers must supply necessary accommodations to enable deaf individuals</w:t>
      </w:r>
      <w:r>
        <w:rPr>
          <w:color w:val="231F20"/>
          <w:spacing w:val="40"/>
        </w:rPr>
        <w:t> </w:t>
      </w:r>
      <w:r>
        <w:rPr>
          <w:color w:val="231F20"/>
        </w:rPr>
        <w:t>to perform their job duties, including communication</w:t>
      </w:r>
      <w:r>
        <w:rPr>
          <w:color w:val="231F20"/>
          <w:spacing w:val="-14"/>
        </w:rPr>
        <w:t> </w:t>
      </w:r>
      <w:r>
        <w:rPr>
          <w:color w:val="231F20"/>
        </w:rPr>
        <w:t>support,</w:t>
      </w:r>
      <w:r>
        <w:rPr>
          <w:color w:val="231F20"/>
          <w:spacing w:val="-14"/>
        </w:rPr>
        <w:t> </w:t>
      </w:r>
      <w:r>
        <w:rPr>
          <w:color w:val="231F20"/>
        </w:rPr>
        <w:t>assistive</w:t>
      </w:r>
      <w:r>
        <w:rPr>
          <w:color w:val="231F20"/>
          <w:spacing w:val="-14"/>
        </w:rPr>
        <w:t> </w:t>
      </w:r>
      <w:r>
        <w:rPr>
          <w:color w:val="231F20"/>
        </w:rPr>
        <w:t>technology, and workplace modifications, and readily support when they are struggling or facing discrimination in their workplace.</w:t>
      </w:r>
    </w:p>
    <w:p>
      <w:pPr>
        <w:pStyle w:val="BodyText"/>
        <w:spacing w:before="122"/>
      </w:pPr>
    </w:p>
    <w:p>
      <w:pPr>
        <w:pStyle w:val="Heading2"/>
        <w:numPr>
          <w:ilvl w:val="0"/>
          <w:numId w:val="1"/>
        </w:numPr>
        <w:tabs>
          <w:tab w:pos="455" w:val="left" w:leader="none"/>
        </w:tabs>
        <w:spacing w:line="240" w:lineRule="auto" w:before="0" w:after="0"/>
        <w:ind w:left="455" w:right="0" w:hanging="349"/>
        <w:jc w:val="left"/>
      </w:pPr>
      <w:r>
        <w:rPr>
          <w:color w:val="231F20"/>
        </w:rPr>
        <w:t>Flexible</w:t>
      </w:r>
      <w:r>
        <w:rPr>
          <w:color w:val="231F20"/>
          <w:spacing w:val="-5"/>
        </w:rPr>
        <w:t> </w:t>
      </w:r>
      <w:r>
        <w:rPr>
          <w:color w:val="231F20"/>
        </w:rPr>
        <w:t>Work</w:t>
      </w:r>
      <w:r>
        <w:rPr>
          <w:color w:val="231F20"/>
          <w:spacing w:val="-3"/>
        </w:rPr>
        <w:t> </w:t>
      </w:r>
      <w:r>
        <w:rPr>
          <w:color w:val="231F20"/>
          <w:spacing w:val="-2"/>
        </w:rPr>
        <w:t>Arrangements</w:t>
      </w:r>
    </w:p>
    <w:p>
      <w:pPr>
        <w:pStyle w:val="BodyText"/>
        <w:spacing w:before="174"/>
        <w:ind w:left="466" w:right="446"/>
      </w:pPr>
      <w:r>
        <w:rPr>
          <w:color w:val="231F20"/>
        </w:rPr>
        <w:t>A</w:t>
      </w:r>
      <w:r>
        <w:rPr>
          <w:color w:val="231F20"/>
          <w:spacing w:val="-6"/>
        </w:rPr>
        <w:t> </w:t>
      </w:r>
      <w:r>
        <w:rPr>
          <w:color w:val="231F20"/>
        </w:rPr>
        <w:t>workplace</w:t>
      </w:r>
      <w:r>
        <w:rPr>
          <w:color w:val="231F20"/>
          <w:spacing w:val="-6"/>
        </w:rPr>
        <w:t> </w:t>
      </w:r>
      <w:r>
        <w:rPr>
          <w:color w:val="231F20"/>
        </w:rPr>
        <w:t>needs</w:t>
      </w:r>
      <w:r>
        <w:rPr>
          <w:color w:val="231F20"/>
          <w:spacing w:val="-6"/>
        </w:rPr>
        <w:t> </w:t>
      </w:r>
      <w:r>
        <w:rPr>
          <w:color w:val="231F20"/>
        </w:rPr>
        <w:t>to</w:t>
      </w:r>
      <w:r>
        <w:rPr>
          <w:color w:val="231F20"/>
          <w:spacing w:val="-6"/>
        </w:rPr>
        <w:t> </w:t>
      </w:r>
      <w:r>
        <w:rPr>
          <w:color w:val="231F20"/>
        </w:rPr>
        <w:t>allow</w:t>
      </w:r>
      <w:r>
        <w:rPr>
          <w:color w:val="231F20"/>
          <w:spacing w:val="-6"/>
        </w:rPr>
        <w:t> </w:t>
      </w:r>
      <w:r>
        <w:rPr>
          <w:color w:val="231F20"/>
        </w:rPr>
        <w:t>for</w:t>
      </w:r>
      <w:r>
        <w:rPr>
          <w:color w:val="231F20"/>
          <w:spacing w:val="-6"/>
        </w:rPr>
        <w:t> </w:t>
      </w:r>
      <w:r>
        <w:rPr>
          <w:color w:val="231F20"/>
        </w:rPr>
        <w:t>customised work schedules or remote work options</w:t>
      </w:r>
    </w:p>
    <w:p>
      <w:pPr>
        <w:pStyle w:val="BodyText"/>
        <w:ind w:left="466" w:right="446"/>
      </w:pPr>
      <w:r>
        <w:rPr>
          <w:color w:val="231F20"/>
        </w:rPr>
        <w:t>to accommodate the unique needs and preferences of deaf employees, ensuring they can work comfortably, safely, and efficiently. Some deaf employees find the workplace to be disruptive, especially the open-space</w:t>
      </w:r>
      <w:r>
        <w:rPr>
          <w:color w:val="231F20"/>
          <w:spacing w:val="-6"/>
        </w:rPr>
        <w:t> </w:t>
      </w:r>
      <w:r>
        <w:rPr>
          <w:color w:val="231F20"/>
        </w:rPr>
        <w:t>floor</w:t>
      </w:r>
      <w:r>
        <w:rPr>
          <w:color w:val="231F20"/>
          <w:spacing w:val="-6"/>
        </w:rPr>
        <w:t> </w:t>
      </w:r>
      <w:r>
        <w:rPr>
          <w:color w:val="231F20"/>
        </w:rPr>
        <w:t>for</w:t>
      </w:r>
      <w:r>
        <w:rPr>
          <w:color w:val="231F20"/>
          <w:spacing w:val="-6"/>
        </w:rPr>
        <w:t> </w:t>
      </w:r>
      <w:r>
        <w:rPr>
          <w:color w:val="231F20"/>
        </w:rPr>
        <w:t>hard</w:t>
      </w:r>
      <w:r>
        <w:rPr>
          <w:color w:val="231F20"/>
          <w:spacing w:val="-6"/>
        </w:rPr>
        <w:t> </w:t>
      </w:r>
      <w:r>
        <w:rPr>
          <w:color w:val="231F20"/>
        </w:rPr>
        <w:t>of</w:t>
      </w:r>
      <w:r>
        <w:rPr>
          <w:color w:val="231F20"/>
          <w:spacing w:val="-6"/>
        </w:rPr>
        <w:t> </w:t>
      </w:r>
      <w:r>
        <w:rPr>
          <w:color w:val="231F20"/>
        </w:rPr>
        <w:t>hearing</w:t>
      </w:r>
      <w:r>
        <w:rPr>
          <w:color w:val="231F20"/>
          <w:spacing w:val="-6"/>
        </w:rPr>
        <w:t> </w:t>
      </w:r>
      <w:r>
        <w:rPr>
          <w:color w:val="231F20"/>
        </w:rPr>
        <w:t>people, and the issue with navigating through</w:t>
      </w:r>
    </w:p>
    <w:p>
      <w:pPr>
        <w:pStyle w:val="BodyText"/>
        <w:ind w:left="466"/>
      </w:pPr>
      <w:r>
        <w:rPr>
          <w:color w:val="231F20"/>
        </w:rPr>
        <w:t>the building if it’s being </w:t>
      </w:r>
      <w:r>
        <w:rPr>
          <w:color w:val="231F20"/>
          <w:spacing w:val="-2"/>
        </w:rPr>
        <w:t>renovated.</w:t>
      </w:r>
    </w:p>
    <w:p>
      <w:pPr>
        <w:spacing w:after="0"/>
        <w:sectPr>
          <w:type w:val="continuous"/>
          <w:pgSz w:w="11910" w:h="16840"/>
          <w:pgMar w:header="0" w:footer="0" w:top="1920" w:bottom="0" w:left="380" w:right="420"/>
          <w:cols w:num="2" w:equalWidth="0">
            <w:col w:w="5434" w:space="213"/>
            <w:col w:w="5463"/>
          </w:cols>
        </w:sectPr>
      </w:pPr>
    </w:p>
    <w:p>
      <w:pPr>
        <w:pStyle w:val="BodyText"/>
        <w:rPr>
          <w:sz w:val="18"/>
        </w:rPr>
      </w:pPr>
      <w:r>
        <w:rPr/>
        <w:drawing>
          <wp:anchor distT="0" distB="0" distL="0" distR="0" allowOverlap="1" layoutInCell="1" locked="0" behindDoc="1" simplePos="0" relativeHeight="487470592">
            <wp:simplePos x="0" y="0"/>
            <wp:positionH relativeFrom="page">
              <wp:posOffset>0</wp:posOffset>
            </wp:positionH>
            <wp:positionV relativeFrom="page">
              <wp:posOffset>5340682</wp:posOffset>
            </wp:positionV>
            <wp:extent cx="7560005" cy="5351320"/>
            <wp:effectExtent l="0" t="0" r="0" b="0"/>
            <wp:wrapNone/>
            <wp:docPr id="19" name="Image 19"/>
            <wp:cNvGraphicFramePr>
              <a:graphicFrameLocks/>
            </wp:cNvGraphicFramePr>
            <a:graphic>
              <a:graphicData uri="http://schemas.openxmlformats.org/drawingml/2006/picture">
                <pic:pic>
                  <pic:nvPicPr>
                    <pic:cNvPr id="19" name="Image 19"/>
                    <pic:cNvPicPr/>
                  </pic:nvPicPr>
                  <pic:blipFill>
                    <a:blip r:embed="rId11" cstate="print"/>
                    <a:stretch>
                      <a:fillRect/>
                    </a:stretch>
                  </pic:blipFill>
                  <pic:spPr>
                    <a:xfrm>
                      <a:off x="0" y="0"/>
                      <a:ext cx="7560005" cy="5351320"/>
                    </a:xfrm>
                    <a:prstGeom prst="rect">
                      <a:avLst/>
                    </a:prstGeom>
                  </pic:spPr>
                </pic:pic>
              </a:graphicData>
            </a:graphic>
          </wp:anchor>
        </w:drawing>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43"/>
        <w:rPr>
          <w:sz w:val="18"/>
        </w:rPr>
      </w:pPr>
    </w:p>
    <w:p>
      <w:pPr>
        <w:spacing w:before="0"/>
        <w:ind w:left="0" w:right="174" w:firstLine="0"/>
        <w:jc w:val="right"/>
        <w:rPr>
          <w:rFonts w:ascii="Museo Sans Rounded 500"/>
          <w:sz w:val="18"/>
        </w:rPr>
      </w:pPr>
      <w:r>
        <w:rPr>
          <w:rFonts w:ascii="Museo Sans Rounded 500"/>
          <w:color w:val="231F20"/>
          <w:spacing w:val="-10"/>
          <w:sz w:val="18"/>
        </w:rPr>
        <w:t>3</w:t>
      </w:r>
    </w:p>
    <w:p>
      <w:pPr>
        <w:spacing w:after="0"/>
        <w:jc w:val="right"/>
        <w:rPr>
          <w:rFonts w:ascii="Museo Sans Rounded 500"/>
          <w:sz w:val="18"/>
        </w:rPr>
        <w:sectPr>
          <w:type w:val="continuous"/>
          <w:pgSz w:w="11910" w:h="16840"/>
          <w:pgMar w:header="0" w:footer="0" w:top="1920" w:bottom="0" w:left="380" w:right="420"/>
        </w:sectPr>
      </w:pPr>
    </w:p>
    <w:p>
      <w:pPr>
        <w:pStyle w:val="BodyText"/>
        <w:spacing w:before="206"/>
        <w:rPr>
          <w:rFonts w:ascii="Museo Sans Rounded 500"/>
          <w:sz w:val="20"/>
        </w:rPr>
      </w:pPr>
    </w:p>
    <w:p>
      <w:pPr>
        <w:spacing w:after="0"/>
        <w:rPr>
          <w:rFonts w:ascii="Museo Sans Rounded 500"/>
          <w:sz w:val="20"/>
        </w:rPr>
        <w:sectPr>
          <w:headerReference w:type="default" r:id="rId12"/>
          <w:footerReference w:type="default" r:id="rId13"/>
          <w:pgSz w:w="11910" w:h="16840"/>
          <w:pgMar w:header="0" w:footer="333" w:top="520" w:bottom="520" w:left="380" w:right="420"/>
        </w:sectPr>
      </w:pPr>
    </w:p>
    <w:p>
      <w:pPr>
        <w:pStyle w:val="BodyText"/>
        <w:spacing w:before="89"/>
        <w:ind w:left="360" w:right="56"/>
      </w:pPr>
      <w:r>
        <w:rPr>
          <w:color w:val="231F20"/>
        </w:rPr>
        <w:t>Employers and businesses are also encouraged</w:t>
      </w:r>
      <w:r>
        <w:rPr>
          <w:color w:val="231F20"/>
          <w:spacing w:val="40"/>
        </w:rPr>
        <w:t> </w:t>
      </w:r>
      <w:r>
        <w:rPr>
          <w:color w:val="231F20"/>
        </w:rPr>
        <w:t>to implement Deaf/Auslan awareness and sensitivity</w:t>
      </w:r>
      <w:r>
        <w:rPr>
          <w:color w:val="231F20"/>
          <w:spacing w:val="-6"/>
        </w:rPr>
        <w:t> </w:t>
      </w:r>
      <w:r>
        <w:rPr>
          <w:color w:val="231F20"/>
        </w:rPr>
        <w:t>training</w:t>
      </w:r>
      <w:r>
        <w:rPr>
          <w:color w:val="231F20"/>
          <w:spacing w:val="-6"/>
        </w:rPr>
        <w:t> </w:t>
      </w:r>
      <w:r>
        <w:rPr>
          <w:color w:val="231F20"/>
        </w:rPr>
        <w:t>as</w:t>
      </w:r>
      <w:r>
        <w:rPr>
          <w:color w:val="231F20"/>
          <w:spacing w:val="-6"/>
        </w:rPr>
        <w:t> </w:t>
      </w:r>
      <w:r>
        <w:rPr>
          <w:color w:val="231F20"/>
        </w:rPr>
        <w:t>it</w:t>
      </w:r>
      <w:r>
        <w:rPr>
          <w:color w:val="231F20"/>
          <w:spacing w:val="-6"/>
        </w:rPr>
        <w:t> </w:t>
      </w:r>
      <w:r>
        <w:rPr>
          <w:color w:val="231F20"/>
        </w:rPr>
        <w:t>is</w:t>
      </w:r>
      <w:r>
        <w:rPr>
          <w:color w:val="231F20"/>
          <w:spacing w:val="-6"/>
        </w:rPr>
        <w:t> </w:t>
      </w:r>
      <w:r>
        <w:rPr>
          <w:color w:val="231F20"/>
        </w:rPr>
        <w:t>a</w:t>
      </w:r>
      <w:r>
        <w:rPr>
          <w:color w:val="231F20"/>
          <w:spacing w:val="-6"/>
        </w:rPr>
        <w:t> </w:t>
      </w:r>
      <w:r>
        <w:rPr>
          <w:color w:val="231F20"/>
        </w:rPr>
        <w:t>critical</w:t>
      </w:r>
      <w:r>
        <w:rPr>
          <w:color w:val="231F20"/>
          <w:spacing w:val="-6"/>
        </w:rPr>
        <w:t> </w:t>
      </w:r>
      <w:r>
        <w:rPr>
          <w:color w:val="231F20"/>
        </w:rPr>
        <w:t>step</w:t>
      </w:r>
      <w:r>
        <w:rPr>
          <w:color w:val="231F20"/>
          <w:spacing w:val="-6"/>
        </w:rPr>
        <w:t> </w:t>
      </w:r>
      <w:r>
        <w:rPr>
          <w:color w:val="231F20"/>
        </w:rPr>
        <w:t>in</w:t>
      </w:r>
      <w:r>
        <w:rPr>
          <w:color w:val="231F20"/>
          <w:spacing w:val="-6"/>
        </w:rPr>
        <w:t> </w:t>
      </w:r>
      <w:r>
        <w:rPr>
          <w:color w:val="231F20"/>
        </w:rPr>
        <w:t>creating an inclusive workplace for the deaf employees and the rest of the team. This type of training:</w:t>
      </w:r>
    </w:p>
    <w:p>
      <w:pPr>
        <w:pStyle w:val="ListParagraph"/>
        <w:numPr>
          <w:ilvl w:val="1"/>
          <w:numId w:val="1"/>
        </w:numPr>
        <w:tabs>
          <w:tab w:pos="306" w:val="left" w:leader="none"/>
          <w:tab w:pos="340" w:val="left" w:leader="none"/>
        </w:tabs>
        <w:spacing w:line="240" w:lineRule="auto" w:before="120" w:after="0"/>
        <w:ind w:left="340" w:right="1109" w:hanging="180"/>
        <w:jc w:val="left"/>
        <w:rPr>
          <w:sz w:val="22"/>
        </w:rPr>
      </w:pPr>
      <w:r>
        <w:rPr>
          <w:color w:val="231F20"/>
          <w:sz w:val="22"/>
        </w:rPr>
        <w:t>Raises awareness about the challenges faced</w:t>
      </w:r>
      <w:r>
        <w:rPr>
          <w:color w:val="231F20"/>
          <w:spacing w:val="-8"/>
          <w:sz w:val="22"/>
        </w:rPr>
        <w:t> </w:t>
      </w:r>
      <w:r>
        <w:rPr>
          <w:color w:val="231F20"/>
          <w:sz w:val="22"/>
        </w:rPr>
        <w:t>by</w:t>
      </w:r>
      <w:r>
        <w:rPr>
          <w:color w:val="231F20"/>
          <w:spacing w:val="-8"/>
          <w:sz w:val="22"/>
        </w:rPr>
        <w:t> </w:t>
      </w:r>
      <w:r>
        <w:rPr>
          <w:color w:val="231F20"/>
          <w:sz w:val="22"/>
        </w:rPr>
        <w:t>deaf</w:t>
      </w:r>
      <w:r>
        <w:rPr>
          <w:color w:val="231F20"/>
          <w:spacing w:val="-8"/>
          <w:sz w:val="22"/>
        </w:rPr>
        <w:t> </w:t>
      </w:r>
      <w:r>
        <w:rPr>
          <w:color w:val="231F20"/>
          <w:sz w:val="22"/>
        </w:rPr>
        <w:t>individuals</w:t>
      </w:r>
      <w:r>
        <w:rPr>
          <w:color w:val="231F20"/>
          <w:spacing w:val="-8"/>
          <w:sz w:val="22"/>
        </w:rPr>
        <w:t> </w:t>
      </w:r>
      <w:r>
        <w:rPr>
          <w:color w:val="231F20"/>
          <w:sz w:val="22"/>
        </w:rPr>
        <w:t>and</w:t>
      </w:r>
      <w:r>
        <w:rPr>
          <w:color w:val="231F20"/>
          <w:spacing w:val="-8"/>
          <w:sz w:val="22"/>
        </w:rPr>
        <w:t> </w:t>
      </w:r>
      <w:r>
        <w:rPr>
          <w:color w:val="231F20"/>
          <w:sz w:val="22"/>
        </w:rPr>
        <w:t>promotes empathy, understanding, and acceptance among colleagues.</w:t>
      </w:r>
    </w:p>
    <w:p>
      <w:pPr>
        <w:pStyle w:val="ListParagraph"/>
        <w:numPr>
          <w:ilvl w:val="1"/>
          <w:numId w:val="1"/>
        </w:numPr>
        <w:tabs>
          <w:tab w:pos="306" w:val="left" w:leader="none"/>
          <w:tab w:pos="340" w:val="left" w:leader="none"/>
        </w:tabs>
        <w:spacing w:line="240" w:lineRule="auto" w:before="120" w:after="0"/>
        <w:ind w:left="340" w:right="1171" w:hanging="180"/>
        <w:jc w:val="both"/>
        <w:rPr>
          <w:sz w:val="22"/>
        </w:rPr>
      </w:pPr>
      <w:r>
        <w:rPr>
          <w:color w:val="231F20"/>
          <w:sz w:val="22"/>
        </w:rPr>
        <w:t>Educates</w:t>
      </w:r>
      <w:r>
        <w:rPr>
          <w:color w:val="231F20"/>
          <w:spacing w:val="-1"/>
          <w:sz w:val="22"/>
        </w:rPr>
        <w:t> </w:t>
      </w:r>
      <w:r>
        <w:rPr>
          <w:color w:val="231F20"/>
          <w:sz w:val="22"/>
        </w:rPr>
        <w:t>employees</w:t>
      </w:r>
      <w:r>
        <w:rPr>
          <w:color w:val="231F20"/>
          <w:spacing w:val="-1"/>
          <w:sz w:val="22"/>
        </w:rPr>
        <w:t> </w:t>
      </w:r>
      <w:r>
        <w:rPr>
          <w:color w:val="231F20"/>
          <w:sz w:val="22"/>
        </w:rPr>
        <w:t>about</w:t>
      </w:r>
      <w:r>
        <w:rPr>
          <w:color w:val="231F20"/>
          <w:spacing w:val="-1"/>
          <w:sz w:val="22"/>
        </w:rPr>
        <w:t> </w:t>
      </w:r>
      <w:r>
        <w:rPr>
          <w:color w:val="231F20"/>
          <w:sz w:val="22"/>
        </w:rPr>
        <w:t>the</w:t>
      </w:r>
      <w:r>
        <w:rPr>
          <w:color w:val="231F20"/>
          <w:spacing w:val="-1"/>
          <w:sz w:val="22"/>
        </w:rPr>
        <w:t> </w:t>
      </w:r>
      <w:r>
        <w:rPr>
          <w:color w:val="231F20"/>
          <w:sz w:val="22"/>
        </w:rPr>
        <w:t>various communication</w:t>
      </w:r>
      <w:r>
        <w:rPr>
          <w:color w:val="231F20"/>
          <w:spacing w:val="-10"/>
          <w:sz w:val="22"/>
        </w:rPr>
        <w:t> </w:t>
      </w:r>
      <w:r>
        <w:rPr>
          <w:color w:val="231F20"/>
          <w:sz w:val="22"/>
        </w:rPr>
        <w:t>methods</w:t>
      </w:r>
      <w:r>
        <w:rPr>
          <w:color w:val="231F20"/>
          <w:spacing w:val="-10"/>
          <w:sz w:val="22"/>
        </w:rPr>
        <w:t> </w:t>
      </w:r>
      <w:r>
        <w:rPr>
          <w:color w:val="231F20"/>
          <w:sz w:val="22"/>
        </w:rPr>
        <w:t>used</w:t>
      </w:r>
      <w:r>
        <w:rPr>
          <w:color w:val="231F20"/>
          <w:spacing w:val="-10"/>
          <w:sz w:val="22"/>
        </w:rPr>
        <w:t> </w:t>
      </w:r>
      <w:r>
        <w:rPr>
          <w:color w:val="231F20"/>
          <w:sz w:val="22"/>
        </w:rPr>
        <w:t>by</w:t>
      </w:r>
      <w:r>
        <w:rPr>
          <w:color w:val="231F20"/>
          <w:spacing w:val="-10"/>
          <w:sz w:val="22"/>
        </w:rPr>
        <w:t> </w:t>
      </w:r>
      <w:r>
        <w:rPr>
          <w:color w:val="231F20"/>
          <w:sz w:val="22"/>
        </w:rPr>
        <w:t>deaf individuals,</w:t>
      </w:r>
      <w:r>
        <w:rPr>
          <w:color w:val="231F20"/>
          <w:spacing w:val="-5"/>
          <w:sz w:val="22"/>
        </w:rPr>
        <w:t> </w:t>
      </w:r>
      <w:r>
        <w:rPr>
          <w:color w:val="231F20"/>
          <w:sz w:val="22"/>
        </w:rPr>
        <w:t>such</w:t>
      </w:r>
      <w:r>
        <w:rPr>
          <w:color w:val="231F20"/>
          <w:spacing w:val="-5"/>
          <w:sz w:val="22"/>
        </w:rPr>
        <w:t> </w:t>
      </w:r>
      <w:r>
        <w:rPr>
          <w:color w:val="231F20"/>
          <w:sz w:val="22"/>
        </w:rPr>
        <w:t>as</w:t>
      </w:r>
      <w:r>
        <w:rPr>
          <w:color w:val="231F20"/>
          <w:spacing w:val="-5"/>
          <w:sz w:val="22"/>
        </w:rPr>
        <w:t> </w:t>
      </w:r>
      <w:r>
        <w:rPr>
          <w:color w:val="231F20"/>
          <w:sz w:val="22"/>
        </w:rPr>
        <w:t>sign</w:t>
      </w:r>
      <w:r>
        <w:rPr>
          <w:color w:val="231F20"/>
          <w:spacing w:val="-5"/>
          <w:sz w:val="22"/>
        </w:rPr>
        <w:t> </w:t>
      </w:r>
      <w:r>
        <w:rPr>
          <w:color w:val="231F20"/>
          <w:sz w:val="22"/>
        </w:rPr>
        <w:t>language,</w:t>
      </w:r>
      <w:r>
        <w:rPr>
          <w:color w:val="231F20"/>
          <w:spacing w:val="-5"/>
          <w:sz w:val="22"/>
        </w:rPr>
        <w:t> </w:t>
      </w:r>
      <w:r>
        <w:rPr>
          <w:color w:val="231F20"/>
          <w:sz w:val="22"/>
        </w:rPr>
        <w:t>and how to effectively interact with them.</w:t>
      </w:r>
    </w:p>
    <w:p>
      <w:pPr>
        <w:pStyle w:val="ListParagraph"/>
        <w:numPr>
          <w:ilvl w:val="1"/>
          <w:numId w:val="1"/>
        </w:numPr>
        <w:tabs>
          <w:tab w:pos="306" w:val="left" w:leader="none"/>
          <w:tab w:pos="340" w:val="left" w:leader="none"/>
        </w:tabs>
        <w:spacing w:line="240" w:lineRule="auto" w:before="120" w:after="0"/>
        <w:ind w:left="340" w:right="704" w:hanging="180"/>
        <w:jc w:val="left"/>
        <w:rPr>
          <w:sz w:val="22"/>
        </w:rPr>
      </w:pPr>
      <w:r>
        <w:rPr>
          <w:color w:val="231F20"/>
          <w:sz w:val="22"/>
        </w:rPr>
        <w:t>Helps to dispel myths and misconceptions surrounding deafness, fostering a more inclusive</w:t>
      </w:r>
      <w:r>
        <w:rPr>
          <w:color w:val="231F20"/>
          <w:spacing w:val="-10"/>
          <w:sz w:val="22"/>
        </w:rPr>
        <w:t> </w:t>
      </w:r>
      <w:r>
        <w:rPr>
          <w:color w:val="231F20"/>
          <w:sz w:val="22"/>
        </w:rPr>
        <w:t>and</w:t>
      </w:r>
      <w:r>
        <w:rPr>
          <w:color w:val="231F20"/>
          <w:spacing w:val="-10"/>
          <w:sz w:val="22"/>
        </w:rPr>
        <w:t> </w:t>
      </w:r>
      <w:r>
        <w:rPr>
          <w:color w:val="231F20"/>
          <w:sz w:val="22"/>
        </w:rPr>
        <w:t>respectful</w:t>
      </w:r>
      <w:r>
        <w:rPr>
          <w:color w:val="231F20"/>
          <w:spacing w:val="-10"/>
          <w:sz w:val="22"/>
        </w:rPr>
        <w:t> </w:t>
      </w:r>
      <w:r>
        <w:rPr>
          <w:color w:val="231F20"/>
          <w:sz w:val="22"/>
        </w:rPr>
        <w:t>work</w:t>
      </w:r>
      <w:r>
        <w:rPr>
          <w:color w:val="231F20"/>
          <w:spacing w:val="-10"/>
          <w:sz w:val="22"/>
        </w:rPr>
        <w:t> </w:t>
      </w:r>
      <w:r>
        <w:rPr>
          <w:color w:val="231F20"/>
          <w:sz w:val="22"/>
        </w:rPr>
        <w:t>environment.</w:t>
      </w:r>
    </w:p>
    <w:p>
      <w:pPr>
        <w:pStyle w:val="ListParagraph"/>
        <w:numPr>
          <w:ilvl w:val="1"/>
          <w:numId w:val="1"/>
        </w:numPr>
        <w:tabs>
          <w:tab w:pos="306" w:val="left" w:leader="none"/>
          <w:tab w:pos="340" w:val="left" w:leader="none"/>
        </w:tabs>
        <w:spacing w:line="240" w:lineRule="auto" w:before="120" w:after="0"/>
        <w:ind w:left="340" w:right="580" w:hanging="180"/>
        <w:jc w:val="left"/>
        <w:rPr>
          <w:sz w:val="22"/>
        </w:rPr>
      </w:pPr>
      <w:r>
        <w:rPr>
          <w:color w:val="231F20"/>
          <w:sz w:val="22"/>
        </w:rPr>
        <w:t>Being aware of the microaggressions and encourage</w:t>
      </w:r>
      <w:r>
        <w:rPr>
          <w:color w:val="231F20"/>
          <w:spacing w:val="-8"/>
          <w:sz w:val="22"/>
        </w:rPr>
        <w:t> </w:t>
      </w:r>
      <w:r>
        <w:rPr>
          <w:color w:val="231F20"/>
          <w:sz w:val="22"/>
        </w:rPr>
        <w:t>the</w:t>
      </w:r>
      <w:r>
        <w:rPr>
          <w:color w:val="231F20"/>
          <w:spacing w:val="-8"/>
          <w:sz w:val="22"/>
        </w:rPr>
        <w:t> </w:t>
      </w:r>
      <w:r>
        <w:rPr>
          <w:color w:val="231F20"/>
          <w:sz w:val="22"/>
        </w:rPr>
        <w:t>increase</w:t>
      </w:r>
      <w:r>
        <w:rPr>
          <w:color w:val="231F20"/>
          <w:spacing w:val="-8"/>
          <w:sz w:val="22"/>
        </w:rPr>
        <w:t> </w:t>
      </w:r>
      <w:r>
        <w:rPr>
          <w:color w:val="231F20"/>
          <w:sz w:val="22"/>
        </w:rPr>
        <w:t>of</w:t>
      </w:r>
      <w:r>
        <w:rPr>
          <w:color w:val="231F20"/>
          <w:spacing w:val="-8"/>
          <w:sz w:val="22"/>
        </w:rPr>
        <w:t> </w:t>
      </w:r>
      <w:r>
        <w:rPr>
          <w:color w:val="231F20"/>
          <w:sz w:val="22"/>
        </w:rPr>
        <w:t>micro</w:t>
      </w:r>
      <w:r>
        <w:rPr>
          <w:color w:val="231F20"/>
          <w:spacing w:val="-8"/>
          <w:sz w:val="22"/>
        </w:rPr>
        <w:t> </w:t>
      </w:r>
      <w:r>
        <w:rPr>
          <w:color w:val="231F20"/>
          <w:sz w:val="22"/>
        </w:rPr>
        <w:t>validations.</w:t>
      </w:r>
    </w:p>
    <w:p>
      <w:pPr>
        <w:pStyle w:val="ListParagraph"/>
        <w:numPr>
          <w:ilvl w:val="1"/>
          <w:numId w:val="1"/>
        </w:numPr>
        <w:tabs>
          <w:tab w:pos="306" w:val="left" w:leader="none"/>
          <w:tab w:pos="340" w:val="left" w:leader="none"/>
        </w:tabs>
        <w:spacing w:line="240" w:lineRule="auto" w:before="120" w:after="0"/>
        <w:ind w:left="340" w:right="1136" w:hanging="180"/>
        <w:jc w:val="left"/>
        <w:rPr>
          <w:sz w:val="22"/>
        </w:rPr>
      </w:pPr>
      <w:r>
        <w:rPr>
          <w:color w:val="231F20"/>
          <w:sz w:val="22"/>
        </w:rPr>
        <w:t>Equips employees and management with the skills to find and implement reasonable</w:t>
      </w:r>
      <w:r>
        <w:rPr>
          <w:color w:val="231F20"/>
          <w:spacing w:val="-15"/>
          <w:sz w:val="22"/>
        </w:rPr>
        <w:t> </w:t>
      </w:r>
      <w:r>
        <w:rPr>
          <w:color w:val="231F20"/>
          <w:sz w:val="22"/>
        </w:rPr>
        <w:t>accommodations,</w:t>
      </w:r>
      <w:r>
        <w:rPr>
          <w:color w:val="231F20"/>
          <w:spacing w:val="-14"/>
          <w:sz w:val="22"/>
        </w:rPr>
        <w:t> </w:t>
      </w:r>
      <w:r>
        <w:rPr>
          <w:color w:val="231F20"/>
          <w:sz w:val="22"/>
        </w:rPr>
        <w:t>ensuring a level playing field for all.</w:t>
      </w:r>
    </w:p>
    <w:p>
      <w:pPr>
        <w:pStyle w:val="BodyText"/>
        <w:spacing w:before="120"/>
        <w:ind w:left="360" w:right="38"/>
      </w:pPr>
      <w:r>
        <w:rPr>
          <w:color w:val="231F20"/>
        </w:rPr>
        <w:t>Here are some examples for both communications</w:t>
      </w:r>
      <w:r>
        <w:rPr>
          <w:color w:val="231F20"/>
          <w:spacing w:val="-13"/>
        </w:rPr>
        <w:t> </w:t>
      </w:r>
      <w:r>
        <w:rPr>
          <w:color w:val="231F20"/>
        </w:rPr>
        <w:t>and</w:t>
      </w:r>
      <w:r>
        <w:rPr>
          <w:color w:val="231F20"/>
          <w:spacing w:val="-13"/>
        </w:rPr>
        <w:t> </w:t>
      </w:r>
      <w:r>
        <w:rPr>
          <w:color w:val="231F20"/>
        </w:rPr>
        <w:t>workplace</w:t>
      </w:r>
      <w:r>
        <w:rPr>
          <w:color w:val="231F20"/>
          <w:spacing w:val="-13"/>
        </w:rPr>
        <w:t> </w:t>
      </w:r>
      <w:r>
        <w:rPr>
          <w:color w:val="231F20"/>
        </w:rPr>
        <w:t>adjustments, however the best practice is to ask the deaf employee themselves directly to obtain</w:t>
      </w:r>
    </w:p>
    <w:p>
      <w:pPr>
        <w:pStyle w:val="BodyText"/>
        <w:ind w:left="360"/>
      </w:pPr>
      <w:r>
        <w:rPr>
          <w:color w:val="231F20"/>
        </w:rPr>
        <w:t>the</w:t>
      </w:r>
      <w:r>
        <w:rPr>
          <w:color w:val="231F20"/>
          <w:spacing w:val="-3"/>
        </w:rPr>
        <w:t> </w:t>
      </w:r>
      <w:r>
        <w:rPr>
          <w:color w:val="231F20"/>
        </w:rPr>
        <w:t>best accommodations for </w:t>
      </w:r>
      <w:r>
        <w:rPr>
          <w:color w:val="231F20"/>
          <w:spacing w:val="-2"/>
        </w:rPr>
        <w:t>them.</w:t>
      </w:r>
    </w:p>
    <w:p>
      <w:pPr>
        <w:pStyle w:val="ListParagraph"/>
        <w:numPr>
          <w:ilvl w:val="0"/>
          <w:numId w:val="2"/>
        </w:numPr>
        <w:tabs>
          <w:tab w:pos="360" w:val="left" w:leader="none"/>
          <w:tab w:pos="380" w:val="left" w:leader="none"/>
        </w:tabs>
        <w:spacing w:line="240" w:lineRule="auto" w:before="120" w:after="0"/>
        <w:ind w:left="360" w:right="164" w:hanging="200"/>
        <w:jc w:val="left"/>
        <w:rPr>
          <w:sz w:val="22"/>
        </w:rPr>
      </w:pPr>
      <w:r>
        <w:rPr>
          <w:color w:val="231F20"/>
          <w:sz w:val="22"/>
        </w:rPr>
        <w:tab/>
        <w:t>Ensure that meetings, presentations, and discussions</w:t>
      </w:r>
      <w:r>
        <w:rPr>
          <w:color w:val="231F20"/>
          <w:spacing w:val="-8"/>
          <w:sz w:val="22"/>
        </w:rPr>
        <w:t> </w:t>
      </w:r>
      <w:r>
        <w:rPr>
          <w:color w:val="231F20"/>
          <w:sz w:val="22"/>
        </w:rPr>
        <w:t>are</w:t>
      </w:r>
      <w:r>
        <w:rPr>
          <w:color w:val="231F20"/>
          <w:spacing w:val="-8"/>
          <w:sz w:val="22"/>
        </w:rPr>
        <w:t> </w:t>
      </w:r>
      <w:r>
        <w:rPr>
          <w:color w:val="231F20"/>
          <w:sz w:val="22"/>
        </w:rPr>
        <w:t>accessible</w:t>
      </w:r>
      <w:r>
        <w:rPr>
          <w:color w:val="231F20"/>
          <w:spacing w:val="-8"/>
          <w:sz w:val="22"/>
        </w:rPr>
        <w:t> </w:t>
      </w:r>
      <w:r>
        <w:rPr>
          <w:color w:val="231F20"/>
          <w:sz w:val="22"/>
        </w:rPr>
        <w:t>by</w:t>
      </w:r>
      <w:r>
        <w:rPr>
          <w:color w:val="231F20"/>
          <w:spacing w:val="-8"/>
          <w:sz w:val="22"/>
        </w:rPr>
        <w:t> </w:t>
      </w:r>
      <w:r>
        <w:rPr>
          <w:color w:val="231F20"/>
          <w:sz w:val="22"/>
        </w:rPr>
        <w:t>supplying</w:t>
      </w:r>
      <w:r>
        <w:rPr>
          <w:color w:val="231F20"/>
          <w:spacing w:val="-8"/>
          <w:sz w:val="22"/>
        </w:rPr>
        <w:t> </w:t>
      </w:r>
      <w:r>
        <w:rPr>
          <w:color w:val="231F20"/>
          <w:sz w:val="22"/>
        </w:rPr>
        <w:t>qualified Auslan and other requested sign language interpreters to ease communication between deaf employees and their colleagues.</w:t>
      </w:r>
    </w:p>
    <w:p>
      <w:pPr>
        <w:pStyle w:val="ListParagraph"/>
        <w:numPr>
          <w:ilvl w:val="0"/>
          <w:numId w:val="2"/>
        </w:numPr>
        <w:tabs>
          <w:tab w:pos="360" w:val="left" w:leader="none"/>
          <w:tab w:pos="398" w:val="left" w:leader="none"/>
        </w:tabs>
        <w:spacing w:line="240" w:lineRule="auto" w:before="120" w:after="0"/>
        <w:ind w:left="360" w:right="859" w:hanging="200"/>
        <w:jc w:val="left"/>
        <w:rPr>
          <w:sz w:val="22"/>
        </w:rPr>
      </w:pPr>
      <w:r>
        <w:rPr>
          <w:color w:val="231F20"/>
          <w:sz w:val="22"/>
        </w:rPr>
        <w:tab/>
        <w:t>Utilise captioning for videos, webinars, and</w:t>
      </w:r>
      <w:r>
        <w:rPr>
          <w:color w:val="231F20"/>
          <w:spacing w:val="-1"/>
          <w:sz w:val="22"/>
        </w:rPr>
        <w:t> </w:t>
      </w:r>
      <w:r>
        <w:rPr>
          <w:color w:val="231F20"/>
          <w:sz w:val="22"/>
        </w:rPr>
        <w:t>presentations,</w:t>
      </w:r>
      <w:r>
        <w:rPr>
          <w:color w:val="231F20"/>
          <w:spacing w:val="-1"/>
          <w:sz w:val="22"/>
        </w:rPr>
        <w:t> </w:t>
      </w:r>
      <w:r>
        <w:rPr>
          <w:color w:val="231F20"/>
          <w:sz w:val="22"/>
        </w:rPr>
        <w:t>making</w:t>
      </w:r>
      <w:r>
        <w:rPr>
          <w:color w:val="231F20"/>
          <w:spacing w:val="-1"/>
          <w:sz w:val="22"/>
        </w:rPr>
        <w:t> </w:t>
      </w:r>
      <w:r>
        <w:rPr>
          <w:color w:val="231F20"/>
          <w:sz w:val="22"/>
        </w:rPr>
        <w:t>audio</w:t>
      </w:r>
      <w:r>
        <w:rPr>
          <w:color w:val="231F20"/>
          <w:spacing w:val="-1"/>
          <w:sz w:val="22"/>
        </w:rPr>
        <w:t> </w:t>
      </w:r>
      <w:r>
        <w:rPr>
          <w:color w:val="231F20"/>
          <w:sz w:val="22"/>
        </w:rPr>
        <w:t>content accessible</w:t>
      </w:r>
      <w:r>
        <w:rPr>
          <w:color w:val="231F20"/>
          <w:spacing w:val="-1"/>
          <w:sz w:val="22"/>
        </w:rPr>
        <w:t> </w:t>
      </w:r>
      <w:r>
        <w:rPr>
          <w:color w:val="231F20"/>
          <w:sz w:val="22"/>
        </w:rPr>
        <w:t>to deaf individuals</w:t>
      </w:r>
      <w:r>
        <w:rPr>
          <w:color w:val="231F20"/>
          <w:spacing w:val="-1"/>
          <w:sz w:val="22"/>
        </w:rPr>
        <w:t> </w:t>
      </w:r>
      <w:r>
        <w:rPr>
          <w:color w:val="231F20"/>
          <w:sz w:val="22"/>
        </w:rPr>
        <w:t>who rely </w:t>
      </w:r>
      <w:r>
        <w:rPr>
          <w:color w:val="231F20"/>
          <w:spacing w:val="-5"/>
          <w:sz w:val="22"/>
        </w:rPr>
        <w:t>on</w:t>
      </w:r>
    </w:p>
    <w:p>
      <w:pPr>
        <w:pStyle w:val="BodyText"/>
        <w:ind w:left="360" w:right="224"/>
      </w:pPr>
      <w:r>
        <w:rPr>
          <w:color w:val="231F20"/>
        </w:rPr>
        <w:t>written text. Alternatively, supply transcripts that</w:t>
      </w:r>
      <w:r>
        <w:rPr>
          <w:color w:val="231F20"/>
          <w:spacing w:val="-7"/>
        </w:rPr>
        <w:t> </w:t>
      </w:r>
      <w:r>
        <w:rPr>
          <w:color w:val="231F20"/>
        </w:rPr>
        <w:t>can</w:t>
      </w:r>
      <w:r>
        <w:rPr>
          <w:color w:val="231F20"/>
          <w:spacing w:val="-7"/>
        </w:rPr>
        <w:t> </w:t>
      </w:r>
      <w:r>
        <w:rPr>
          <w:color w:val="231F20"/>
        </w:rPr>
        <w:t>be</w:t>
      </w:r>
      <w:r>
        <w:rPr>
          <w:color w:val="231F20"/>
          <w:spacing w:val="-7"/>
        </w:rPr>
        <w:t> </w:t>
      </w:r>
      <w:r>
        <w:rPr>
          <w:color w:val="231F20"/>
        </w:rPr>
        <w:t>adapted</w:t>
      </w:r>
      <w:r>
        <w:rPr>
          <w:color w:val="231F20"/>
          <w:spacing w:val="-7"/>
        </w:rPr>
        <w:t> </w:t>
      </w:r>
      <w:r>
        <w:rPr>
          <w:color w:val="231F20"/>
        </w:rPr>
        <w:t>for</w:t>
      </w:r>
      <w:r>
        <w:rPr>
          <w:color w:val="231F20"/>
          <w:spacing w:val="-7"/>
        </w:rPr>
        <w:t> </w:t>
      </w:r>
      <w:r>
        <w:rPr>
          <w:color w:val="231F20"/>
        </w:rPr>
        <w:t>deafblind</w:t>
      </w:r>
      <w:r>
        <w:rPr>
          <w:color w:val="231F20"/>
          <w:spacing w:val="-7"/>
        </w:rPr>
        <w:t> </w:t>
      </w:r>
      <w:r>
        <w:rPr>
          <w:color w:val="231F20"/>
        </w:rPr>
        <w:t>employees.</w:t>
      </w:r>
    </w:p>
    <w:p>
      <w:pPr>
        <w:pStyle w:val="ListParagraph"/>
        <w:numPr>
          <w:ilvl w:val="0"/>
          <w:numId w:val="2"/>
        </w:numPr>
        <w:tabs>
          <w:tab w:pos="360" w:val="left" w:leader="none"/>
          <w:tab w:pos="395" w:val="left" w:leader="none"/>
        </w:tabs>
        <w:spacing w:line="240" w:lineRule="auto" w:before="120" w:after="0"/>
        <w:ind w:left="360" w:right="812" w:hanging="200"/>
        <w:jc w:val="left"/>
        <w:rPr>
          <w:sz w:val="22"/>
        </w:rPr>
      </w:pPr>
      <w:r>
        <w:rPr>
          <w:color w:val="231F20"/>
          <w:sz w:val="22"/>
        </w:rPr>
        <w:tab/>
        <w:t>Offer devices that amplify sound or supply clarity in noisy environments, enabling</w:t>
      </w:r>
      <w:r>
        <w:rPr>
          <w:color w:val="231F20"/>
          <w:spacing w:val="-7"/>
          <w:sz w:val="22"/>
        </w:rPr>
        <w:t> </w:t>
      </w:r>
      <w:r>
        <w:rPr>
          <w:color w:val="231F20"/>
          <w:sz w:val="22"/>
        </w:rPr>
        <w:t>deaf</w:t>
      </w:r>
      <w:r>
        <w:rPr>
          <w:color w:val="231F20"/>
          <w:spacing w:val="-7"/>
          <w:sz w:val="22"/>
        </w:rPr>
        <w:t> </w:t>
      </w:r>
      <w:r>
        <w:rPr>
          <w:color w:val="231F20"/>
          <w:sz w:val="22"/>
        </w:rPr>
        <w:t>employees</w:t>
      </w:r>
      <w:r>
        <w:rPr>
          <w:color w:val="231F20"/>
          <w:spacing w:val="-7"/>
          <w:sz w:val="22"/>
        </w:rPr>
        <w:t> </w:t>
      </w:r>
      <w:r>
        <w:rPr>
          <w:color w:val="231F20"/>
          <w:sz w:val="22"/>
        </w:rPr>
        <w:t>to</w:t>
      </w:r>
      <w:r>
        <w:rPr>
          <w:color w:val="231F20"/>
          <w:spacing w:val="-7"/>
          <w:sz w:val="22"/>
        </w:rPr>
        <w:t> </w:t>
      </w:r>
      <w:r>
        <w:rPr>
          <w:color w:val="231F20"/>
          <w:sz w:val="22"/>
        </w:rPr>
        <w:t>take</w:t>
      </w:r>
      <w:r>
        <w:rPr>
          <w:color w:val="231F20"/>
          <w:spacing w:val="-7"/>
          <w:sz w:val="22"/>
        </w:rPr>
        <w:t> </w:t>
      </w:r>
      <w:r>
        <w:rPr>
          <w:color w:val="231F20"/>
          <w:sz w:val="22"/>
        </w:rPr>
        <w:t>part</w:t>
      </w:r>
      <w:r>
        <w:rPr>
          <w:color w:val="231F20"/>
          <w:spacing w:val="-7"/>
          <w:sz w:val="22"/>
        </w:rPr>
        <w:t> </w:t>
      </w:r>
      <w:r>
        <w:rPr>
          <w:color w:val="231F20"/>
          <w:sz w:val="22"/>
        </w:rPr>
        <w:t>fully in group discussions and meetings.</w:t>
      </w:r>
    </w:p>
    <w:p>
      <w:pPr>
        <w:pStyle w:val="ListParagraph"/>
        <w:numPr>
          <w:ilvl w:val="0"/>
          <w:numId w:val="2"/>
        </w:numPr>
        <w:tabs>
          <w:tab w:pos="360" w:val="left" w:leader="none"/>
          <w:tab w:pos="400" w:val="left" w:leader="none"/>
        </w:tabs>
        <w:spacing w:line="240" w:lineRule="auto" w:before="120" w:after="0"/>
        <w:ind w:left="360" w:right="472" w:hanging="200"/>
        <w:jc w:val="left"/>
        <w:rPr>
          <w:sz w:val="22"/>
        </w:rPr>
      </w:pPr>
      <w:r>
        <w:rPr>
          <w:color w:val="231F20"/>
          <w:sz w:val="22"/>
        </w:rPr>
        <w:tab/>
        <w:t>Emphasise the use of written materials,</w:t>
      </w:r>
      <w:r>
        <w:rPr>
          <w:color w:val="231F20"/>
          <w:spacing w:val="40"/>
          <w:sz w:val="22"/>
        </w:rPr>
        <w:t> </w:t>
      </w:r>
      <w:r>
        <w:rPr>
          <w:color w:val="231F20"/>
          <w:sz w:val="22"/>
        </w:rPr>
        <w:t>visual</w:t>
      </w:r>
      <w:r>
        <w:rPr>
          <w:color w:val="231F20"/>
          <w:spacing w:val="-8"/>
          <w:sz w:val="22"/>
        </w:rPr>
        <w:t> </w:t>
      </w:r>
      <w:r>
        <w:rPr>
          <w:color w:val="231F20"/>
          <w:sz w:val="22"/>
        </w:rPr>
        <w:t>aids,</w:t>
      </w:r>
      <w:r>
        <w:rPr>
          <w:color w:val="231F20"/>
          <w:spacing w:val="-8"/>
          <w:sz w:val="22"/>
        </w:rPr>
        <w:t> </w:t>
      </w:r>
      <w:r>
        <w:rPr>
          <w:color w:val="231F20"/>
          <w:sz w:val="22"/>
        </w:rPr>
        <w:t>and</w:t>
      </w:r>
      <w:r>
        <w:rPr>
          <w:color w:val="231F20"/>
          <w:spacing w:val="-8"/>
          <w:sz w:val="22"/>
        </w:rPr>
        <w:t> </w:t>
      </w:r>
      <w:r>
        <w:rPr>
          <w:color w:val="231F20"/>
          <w:sz w:val="22"/>
        </w:rPr>
        <w:t>presentations</w:t>
      </w:r>
      <w:r>
        <w:rPr>
          <w:color w:val="231F20"/>
          <w:spacing w:val="-8"/>
          <w:sz w:val="22"/>
        </w:rPr>
        <w:t> </w:t>
      </w:r>
      <w:r>
        <w:rPr>
          <w:color w:val="231F20"/>
          <w:sz w:val="22"/>
        </w:rPr>
        <w:t>to</w:t>
      </w:r>
      <w:r>
        <w:rPr>
          <w:color w:val="231F20"/>
          <w:spacing w:val="-8"/>
          <w:sz w:val="22"/>
        </w:rPr>
        <w:t> </w:t>
      </w:r>
      <w:r>
        <w:rPr>
          <w:color w:val="231F20"/>
          <w:sz w:val="22"/>
        </w:rPr>
        <w:t>complement verbal communication, ensuring information is accessible to all employees.</w:t>
      </w:r>
    </w:p>
    <w:p>
      <w:pPr>
        <w:pStyle w:val="ListParagraph"/>
        <w:numPr>
          <w:ilvl w:val="0"/>
          <w:numId w:val="2"/>
        </w:numPr>
        <w:tabs>
          <w:tab w:pos="360" w:val="left" w:leader="none"/>
          <w:tab w:pos="394" w:val="left" w:leader="none"/>
        </w:tabs>
        <w:spacing w:line="240" w:lineRule="auto" w:before="89" w:after="0"/>
        <w:ind w:left="360" w:right="769" w:hanging="200"/>
        <w:jc w:val="left"/>
        <w:rPr>
          <w:sz w:val="22"/>
        </w:rPr>
      </w:pPr>
      <w:r>
        <w:rPr/>
        <w:br w:type="column"/>
      </w:r>
      <w:r>
        <w:rPr>
          <w:color w:val="231F20"/>
          <w:sz w:val="22"/>
        </w:rPr>
        <w:tab/>
        <w:t>Install</w:t>
      </w:r>
      <w:r>
        <w:rPr>
          <w:color w:val="231F20"/>
          <w:spacing w:val="-7"/>
          <w:sz w:val="22"/>
        </w:rPr>
        <w:t> </w:t>
      </w:r>
      <w:r>
        <w:rPr>
          <w:color w:val="231F20"/>
          <w:sz w:val="22"/>
        </w:rPr>
        <w:t>visual</w:t>
      </w:r>
      <w:r>
        <w:rPr>
          <w:color w:val="231F20"/>
          <w:spacing w:val="-7"/>
          <w:sz w:val="22"/>
        </w:rPr>
        <w:t> </w:t>
      </w:r>
      <w:r>
        <w:rPr>
          <w:color w:val="231F20"/>
          <w:sz w:val="22"/>
        </w:rPr>
        <w:t>alert</w:t>
      </w:r>
      <w:r>
        <w:rPr>
          <w:color w:val="231F20"/>
          <w:spacing w:val="-7"/>
          <w:sz w:val="22"/>
        </w:rPr>
        <w:t> </w:t>
      </w:r>
      <w:r>
        <w:rPr>
          <w:color w:val="231F20"/>
          <w:sz w:val="22"/>
        </w:rPr>
        <w:t>systems</w:t>
      </w:r>
      <w:r>
        <w:rPr>
          <w:color w:val="231F20"/>
          <w:spacing w:val="-7"/>
          <w:sz w:val="22"/>
        </w:rPr>
        <w:t> </w:t>
      </w:r>
      <w:r>
        <w:rPr>
          <w:color w:val="231F20"/>
          <w:sz w:val="22"/>
        </w:rPr>
        <w:t>for</w:t>
      </w:r>
      <w:r>
        <w:rPr>
          <w:color w:val="231F20"/>
          <w:spacing w:val="-7"/>
          <w:sz w:val="22"/>
        </w:rPr>
        <w:t> </w:t>
      </w:r>
      <w:r>
        <w:rPr>
          <w:color w:val="231F20"/>
          <w:sz w:val="22"/>
        </w:rPr>
        <w:t>notifications, alarms, and emergency situations,</w:t>
      </w:r>
      <w:r>
        <w:rPr>
          <w:color w:val="231F20"/>
          <w:spacing w:val="40"/>
          <w:sz w:val="22"/>
        </w:rPr>
        <w:t> </w:t>
      </w:r>
      <w:r>
        <w:rPr>
          <w:color w:val="231F20"/>
          <w:sz w:val="22"/>
        </w:rPr>
        <w:t>ensuring that deaf employees are alerted to important events in the workplace.</w:t>
      </w:r>
    </w:p>
    <w:p>
      <w:pPr>
        <w:pStyle w:val="ListParagraph"/>
        <w:numPr>
          <w:ilvl w:val="0"/>
          <w:numId w:val="2"/>
        </w:numPr>
        <w:tabs>
          <w:tab w:pos="360" w:val="left" w:leader="none"/>
          <w:tab w:pos="402" w:val="left" w:leader="none"/>
        </w:tabs>
        <w:spacing w:line="240" w:lineRule="auto" w:before="120" w:after="0"/>
        <w:ind w:left="360" w:right="1037" w:hanging="200"/>
        <w:jc w:val="left"/>
        <w:rPr>
          <w:sz w:val="22"/>
        </w:rPr>
      </w:pPr>
      <w:r>
        <w:rPr>
          <w:color w:val="231F20"/>
          <w:sz w:val="22"/>
        </w:rPr>
        <w:tab/>
        <w:t>Ensure</w:t>
      </w:r>
      <w:r>
        <w:rPr>
          <w:color w:val="231F20"/>
          <w:spacing w:val="-10"/>
          <w:sz w:val="22"/>
        </w:rPr>
        <w:t> </w:t>
      </w:r>
      <w:r>
        <w:rPr>
          <w:color w:val="231F20"/>
          <w:sz w:val="22"/>
        </w:rPr>
        <w:t>that</w:t>
      </w:r>
      <w:r>
        <w:rPr>
          <w:color w:val="231F20"/>
          <w:spacing w:val="-10"/>
          <w:sz w:val="22"/>
        </w:rPr>
        <w:t> </w:t>
      </w:r>
      <w:r>
        <w:rPr>
          <w:color w:val="231F20"/>
          <w:sz w:val="22"/>
        </w:rPr>
        <w:t>workstations</w:t>
      </w:r>
      <w:r>
        <w:rPr>
          <w:color w:val="231F20"/>
          <w:spacing w:val="-10"/>
          <w:sz w:val="22"/>
        </w:rPr>
        <w:t> </w:t>
      </w:r>
      <w:r>
        <w:rPr>
          <w:color w:val="231F20"/>
          <w:sz w:val="22"/>
        </w:rPr>
        <w:t>are</w:t>
      </w:r>
      <w:r>
        <w:rPr>
          <w:color w:val="231F20"/>
          <w:spacing w:val="-10"/>
          <w:sz w:val="22"/>
        </w:rPr>
        <w:t> </w:t>
      </w:r>
      <w:r>
        <w:rPr>
          <w:color w:val="231F20"/>
          <w:sz w:val="22"/>
        </w:rPr>
        <w:t>configured to accommodate the needs of deaf</w:t>
      </w:r>
    </w:p>
    <w:p>
      <w:pPr>
        <w:pStyle w:val="BodyText"/>
        <w:ind w:left="360"/>
      </w:pPr>
      <w:r>
        <w:rPr>
          <w:color w:val="231F20"/>
        </w:rPr>
        <w:t>employees,</w:t>
      </w:r>
      <w:r>
        <w:rPr>
          <w:color w:val="231F20"/>
          <w:spacing w:val="-9"/>
        </w:rPr>
        <w:t> </w:t>
      </w:r>
      <w:r>
        <w:rPr>
          <w:color w:val="231F20"/>
        </w:rPr>
        <w:t>with</w:t>
      </w:r>
      <w:r>
        <w:rPr>
          <w:color w:val="231F20"/>
          <w:spacing w:val="-9"/>
        </w:rPr>
        <w:t> </w:t>
      </w:r>
      <w:r>
        <w:rPr>
          <w:color w:val="231F20"/>
        </w:rPr>
        <w:t>considerations</w:t>
      </w:r>
      <w:r>
        <w:rPr>
          <w:color w:val="231F20"/>
          <w:spacing w:val="-9"/>
        </w:rPr>
        <w:t> </w:t>
      </w:r>
      <w:r>
        <w:rPr>
          <w:color w:val="231F20"/>
        </w:rPr>
        <w:t>for</w:t>
      </w:r>
      <w:r>
        <w:rPr>
          <w:color w:val="231F20"/>
          <w:spacing w:val="-9"/>
        </w:rPr>
        <w:t> </w:t>
      </w:r>
      <w:r>
        <w:rPr>
          <w:color w:val="231F20"/>
        </w:rPr>
        <w:t>lighting, spacing, and ergonomic adjustments.</w:t>
      </w:r>
    </w:p>
    <w:p>
      <w:pPr>
        <w:pStyle w:val="ListParagraph"/>
        <w:numPr>
          <w:ilvl w:val="0"/>
          <w:numId w:val="2"/>
        </w:numPr>
        <w:tabs>
          <w:tab w:pos="360" w:val="left" w:leader="none"/>
          <w:tab w:pos="372" w:val="left" w:leader="none"/>
        </w:tabs>
        <w:spacing w:line="240" w:lineRule="auto" w:before="120" w:after="0"/>
        <w:ind w:left="360" w:right="119" w:hanging="200"/>
        <w:jc w:val="left"/>
        <w:rPr>
          <w:sz w:val="22"/>
        </w:rPr>
      </w:pPr>
      <w:r>
        <w:rPr>
          <w:color w:val="231F20"/>
          <w:sz w:val="22"/>
        </w:rPr>
        <w:tab/>
        <w:t>Provide</w:t>
      </w:r>
      <w:r>
        <w:rPr>
          <w:color w:val="231F20"/>
          <w:spacing w:val="-8"/>
          <w:sz w:val="22"/>
        </w:rPr>
        <w:t> </w:t>
      </w:r>
      <w:r>
        <w:rPr>
          <w:color w:val="231F20"/>
          <w:sz w:val="22"/>
        </w:rPr>
        <w:t>access</w:t>
      </w:r>
      <w:r>
        <w:rPr>
          <w:color w:val="231F20"/>
          <w:spacing w:val="-8"/>
          <w:sz w:val="22"/>
        </w:rPr>
        <w:t> </w:t>
      </w:r>
      <w:r>
        <w:rPr>
          <w:color w:val="231F20"/>
          <w:sz w:val="22"/>
        </w:rPr>
        <w:t>to</w:t>
      </w:r>
      <w:r>
        <w:rPr>
          <w:color w:val="231F20"/>
          <w:spacing w:val="-8"/>
          <w:sz w:val="22"/>
        </w:rPr>
        <w:t> </w:t>
      </w:r>
      <w:r>
        <w:rPr>
          <w:color w:val="231F20"/>
          <w:sz w:val="22"/>
        </w:rPr>
        <w:t>specialised</w:t>
      </w:r>
      <w:r>
        <w:rPr>
          <w:color w:val="231F20"/>
          <w:spacing w:val="-8"/>
          <w:sz w:val="22"/>
        </w:rPr>
        <w:t> </w:t>
      </w:r>
      <w:r>
        <w:rPr>
          <w:color w:val="231F20"/>
          <w:sz w:val="22"/>
        </w:rPr>
        <w:t>technology,</w:t>
      </w:r>
      <w:r>
        <w:rPr>
          <w:color w:val="231F20"/>
          <w:spacing w:val="-8"/>
          <w:sz w:val="22"/>
        </w:rPr>
        <w:t> </w:t>
      </w:r>
      <w:r>
        <w:rPr>
          <w:color w:val="231F20"/>
          <w:sz w:val="22"/>
        </w:rPr>
        <w:t>such</w:t>
      </w:r>
      <w:r>
        <w:rPr>
          <w:color w:val="231F20"/>
          <w:spacing w:val="-8"/>
          <w:sz w:val="22"/>
        </w:rPr>
        <w:t> </w:t>
      </w:r>
      <w:r>
        <w:rPr>
          <w:color w:val="231F20"/>
          <w:sz w:val="22"/>
        </w:rPr>
        <w:t>as telecommunication devices, video conferencing platforms with real-time captioning, and other assistive tools that enhance communication.</w:t>
      </w:r>
    </w:p>
    <w:p>
      <w:pPr>
        <w:pStyle w:val="ListParagraph"/>
        <w:numPr>
          <w:ilvl w:val="0"/>
          <w:numId w:val="2"/>
        </w:numPr>
        <w:tabs>
          <w:tab w:pos="360" w:val="left" w:leader="none"/>
          <w:tab w:pos="403" w:val="left" w:leader="none"/>
        </w:tabs>
        <w:spacing w:line="240" w:lineRule="auto" w:before="120" w:after="0"/>
        <w:ind w:left="360" w:right="737" w:hanging="200"/>
        <w:jc w:val="left"/>
        <w:rPr>
          <w:sz w:val="22"/>
        </w:rPr>
      </w:pPr>
      <w:r>
        <w:rPr>
          <w:color w:val="231F20"/>
          <w:sz w:val="22"/>
        </w:rPr>
        <w:tab/>
        <w:t>Appoint quiet spaces where employees</w:t>
      </w:r>
      <w:r>
        <w:rPr>
          <w:color w:val="231F20"/>
          <w:spacing w:val="40"/>
          <w:sz w:val="22"/>
        </w:rPr>
        <w:t> </w:t>
      </w:r>
      <w:r>
        <w:rPr>
          <w:color w:val="231F20"/>
          <w:sz w:val="22"/>
        </w:rPr>
        <w:t>can</w:t>
      </w:r>
      <w:r>
        <w:rPr>
          <w:color w:val="231F20"/>
          <w:spacing w:val="-5"/>
          <w:sz w:val="22"/>
        </w:rPr>
        <w:t> </w:t>
      </w:r>
      <w:r>
        <w:rPr>
          <w:color w:val="231F20"/>
          <w:sz w:val="22"/>
        </w:rPr>
        <w:t>engage</w:t>
      </w:r>
      <w:r>
        <w:rPr>
          <w:color w:val="231F20"/>
          <w:spacing w:val="-5"/>
          <w:sz w:val="22"/>
        </w:rPr>
        <w:t> </w:t>
      </w:r>
      <w:r>
        <w:rPr>
          <w:color w:val="231F20"/>
          <w:sz w:val="22"/>
        </w:rPr>
        <w:t>in</w:t>
      </w:r>
      <w:r>
        <w:rPr>
          <w:color w:val="231F20"/>
          <w:spacing w:val="-5"/>
          <w:sz w:val="22"/>
        </w:rPr>
        <w:t> </w:t>
      </w:r>
      <w:r>
        <w:rPr>
          <w:color w:val="231F20"/>
          <w:sz w:val="22"/>
        </w:rPr>
        <w:t>focused</w:t>
      </w:r>
      <w:r>
        <w:rPr>
          <w:color w:val="231F20"/>
          <w:spacing w:val="-5"/>
          <w:sz w:val="22"/>
        </w:rPr>
        <w:t> </w:t>
      </w:r>
      <w:r>
        <w:rPr>
          <w:color w:val="231F20"/>
          <w:sz w:val="22"/>
        </w:rPr>
        <w:t>work</w:t>
      </w:r>
      <w:r>
        <w:rPr>
          <w:color w:val="231F20"/>
          <w:spacing w:val="-5"/>
          <w:sz w:val="22"/>
        </w:rPr>
        <w:t> </w:t>
      </w:r>
      <w:r>
        <w:rPr>
          <w:color w:val="231F20"/>
          <w:sz w:val="22"/>
        </w:rPr>
        <w:t>or</w:t>
      </w:r>
      <w:r>
        <w:rPr>
          <w:color w:val="231F20"/>
          <w:spacing w:val="-5"/>
          <w:sz w:val="22"/>
        </w:rPr>
        <w:t> </w:t>
      </w:r>
      <w:r>
        <w:rPr>
          <w:color w:val="231F20"/>
          <w:sz w:val="22"/>
        </w:rPr>
        <w:t>hold</w:t>
      </w:r>
      <w:r>
        <w:rPr>
          <w:color w:val="231F20"/>
          <w:spacing w:val="-5"/>
          <w:sz w:val="22"/>
        </w:rPr>
        <w:t> </w:t>
      </w:r>
      <w:r>
        <w:rPr>
          <w:color w:val="231F20"/>
          <w:sz w:val="22"/>
        </w:rPr>
        <w:t>private conversations, providing a conducive environment for effective communication with hard of hearing individuals, and</w:t>
      </w:r>
    </w:p>
    <w:p>
      <w:pPr>
        <w:pStyle w:val="BodyText"/>
        <w:ind w:left="360"/>
      </w:pPr>
      <w:r>
        <w:rPr>
          <w:color w:val="231F20"/>
        </w:rPr>
        <w:t>when using Auslan </w:t>
      </w:r>
      <w:r>
        <w:rPr>
          <w:color w:val="231F20"/>
          <w:spacing w:val="-2"/>
        </w:rPr>
        <w:t>interpreters.</w:t>
      </w:r>
    </w:p>
    <w:p>
      <w:pPr>
        <w:pStyle w:val="ListParagraph"/>
        <w:numPr>
          <w:ilvl w:val="0"/>
          <w:numId w:val="2"/>
        </w:numPr>
        <w:tabs>
          <w:tab w:pos="360" w:val="left" w:leader="none"/>
          <w:tab w:pos="397" w:val="left" w:leader="none"/>
        </w:tabs>
        <w:spacing w:line="240" w:lineRule="auto" w:before="120" w:after="0"/>
        <w:ind w:left="360" w:right="676" w:hanging="200"/>
        <w:jc w:val="left"/>
        <w:rPr>
          <w:sz w:val="22"/>
        </w:rPr>
      </w:pPr>
      <w:r>
        <w:rPr>
          <w:color w:val="231F20"/>
          <w:sz w:val="22"/>
        </w:rPr>
        <w:tab/>
        <w:t>Consider the culture in the workplace, especially</w:t>
      </w:r>
      <w:r>
        <w:rPr>
          <w:color w:val="231F20"/>
          <w:spacing w:val="-7"/>
          <w:sz w:val="22"/>
        </w:rPr>
        <w:t> </w:t>
      </w:r>
      <w:r>
        <w:rPr>
          <w:color w:val="231F20"/>
          <w:sz w:val="22"/>
        </w:rPr>
        <w:t>the</w:t>
      </w:r>
      <w:r>
        <w:rPr>
          <w:color w:val="231F20"/>
          <w:spacing w:val="-7"/>
          <w:sz w:val="22"/>
        </w:rPr>
        <w:t> </w:t>
      </w:r>
      <w:r>
        <w:rPr>
          <w:color w:val="231F20"/>
          <w:sz w:val="22"/>
        </w:rPr>
        <w:t>socialisation</w:t>
      </w:r>
      <w:r>
        <w:rPr>
          <w:color w:val="231F20"/>
          <w:spacing w:val="-7"/>
          <w:sz w:val="22"/>
        </w:rPr>
        <w:t> </w:t>
      </w:r>
      <w:r>
        <w:rPr>
          <w:color w:val="231F20"/>
          <w:sz w:val="22"/>
        </w:rPr>
        <w:t>of</w:t>
      </w:r>
      <w:r>
        <w:rPr>
          <w:color w:val="231F20"/>
          <w:spacing w:val="-7"/>
          <w:sz w:val="22"/>
        </w:rPr>
        <w:t> </w:t>
      </w:r>
      <w:r>
        <w:rPr>
          <w:color w:val="231F20"/>
          <w:sz w:val="22"/>
        </w:rPr>
        <w:t>all</w:t>
      </w:r>
      <w:r>
        <w:rPr>
          <w:color w:val="231F20"/>
          <w:spacing w:val="-7"/>
          <w:sz w:val="22"/>
        </w:rPr>
        <w:t> </w:t>
      </w:r>
      <w:r>
        <w:rPr>
          <w:color w:val="231F20"/>
          <w:sz w:val="22"/>
        </w:rPr>
        <w:t>employees, and the impacts and attitudes of others around the deaf employees, and types of interactions and adjustments that could be encouraged and implemented positively.</w:t>
      </w:r>
    </w:p>
    <w:p>
      <w:pPr>
        <w:pStyle w:val="ListParagraph"/>
        <w:numPr>
          <w:ilvl w:val="0"/>
          <w:numId w:val="2"/>
        </w:numPr>
        <w:tabs>
          <w:tab w:pos="360" w:val="left" w:leader="none"/>
          <w:tab w:pos="513" w:val="left" w:leader="none"/>
        </w:tabs>
        <w:spacing w:line="240" w:lineRule="auto" w:before="120" w:after="0"/>
        <w:ind w:left="360" w:right="339" w:hanging="200"/>
        <w:jc w:val="left"/>
        <w:rPr>
          <w:sz w:val="22"/>
        </w:rPr>
      </w:pPr>
      <w:r>
        <w:rPr>
          <w:color w:val="231F20"/>
          <w:sz w:val="22"/>
        </w:rPr>
        <w:t>Explore</w:t>
      </w:r>
      <w:r>
        <w:rPr>
          <w:color w:val="231F20"/>
          <w:spacing w:val="-8"/>
          <w:sz w:val="22"/>
        </w:rPr>
        <w:t> </w:t>
      </w:r>
      <w:r>
        <w:rPr>
          <w:color w:val="231F20"/>
          <w:sz w:val="22"/>
        </w:rPr>
        <w:t>the</w:t>
      </w:r>
      <w:r>
        <w:rPr>
          <w:color w:val="231F20"/>
          <w:spacing w:val="-8"/>
          <w:sz w:val="22"/>
        </w:rPr>
        <w:t> </w:t>
      </w:r>
      <w:r>
        <w:rPr>
          <w:color w:val="231F20"/>
          <w:sz w:val="22"/>
        </w:rPr>
        <w:t>options</w:t>
      </w:r>
      <w:r>
        <w:rPr>
          <w:color w:val="231F20"/>
          <w:spacing w:val="-8"/>
          <w:sz w:val="22"/>
        </w:rPr>
        <w:t> </w:t>
      </w:r>
      <w:r>
        <w:rPr>
          <w:color w:val="231F20"/>
          <w:sz w:val="22"/>
        </w:rPr>
        <w:t>of</w:t>
      </w:r>
      <w:r>
        <w:rPr>
          <w:color w:val="231F20"/>
          <w:spacing w:val="-8"/>
          <w:sz w:val="22"/>
        </w:rPr>
        <w:t> </w:t>
      </w:r>
      <w:r>
        <w:rPr>
          <w:color w:val="231F20"/>
          <w:sz w:val="22"/>
        </w:rPr>
        <w:t>retraining,</w:t>
      </w:r>
      <w:r>
        <w:rPr>
          <w:color w:val="231F20"/>
          <w:spacing w:val="-8"/>
          <w:sz w:val="22"/>
        </w:rPr>
        <w:t> </w:t>
      </w:r>
      <w:r>
        <w:rPr>
          <w:color w:val="231F20"/>
          <w:sz w:val="22"/>
        </w:rPr>
        <w:t>promotions, and specific responsibilities with the deaf employees and consider the extra times</w:t>
      </w:r>
    </w:p>
    <w:p>
      <w:pPr>
        <w:pStyle w:val="BodyText"/>
        <w:ind w:left="360" w:right="557"/>
      </w:pPr>
      <w:r>
        <w:rPr>
          <w:color w:val="231F20"/>
        </w:rPr>
        <w:t>and supports they would need to achieve this. The deaf employees themselves would have ideas, approaches, and procedures that would</w:t>
      </w:r>
      <w:r>
        <w:rPr>
          <w:color w:val="231F20"/>
          <w:spacing w:val="-6"/>
        </w:rPr>
        <w:t> </w:t>
      </w:r>
      <w:r>
        <w:rPr>
          <w:color w:val="231F20"/>
        </w:rPr>
        <w:t>help</w:t>
      </w:r>
      <w:r>
        <w:rPr>
          <w:color w:val="231F20"/>
          <w:spacing w:val="-6"/>
        </w:rPr>
        <w:t> </w:t>
      </w:r>
      <w:r>
        <w:rPr>
          <w:color w:val="231F20"/>
        </w:rPr>
        <w:t>the</w:t>
      </w:r>
      <w:r>
        <w:rPr>
          <w:color w:val="231F20"/>
          <w:spacing w:val="-6"/>
        </w:rPr>
        <w:t> </w:t>
      </w:r>
      <w:r>
        <w:rPr>
          <w:color w:val="231F20"/>
        </w:rPr>
        <w:t>whole</w:t>
      </w:r>
      <w:r>
        <w:rPr>
          <w:color w:val="231F20"/>
          <w:spacing w:val="-6"/>
        </w:rPr>
        <w:t> </w:t>
      </w:r>
      <w:r>
        <w:rPr>
          <w:color w:val="231F20"/>
        </w:rPr>
        <w:t>workplace</w:t>
      </w:r>
      <w:r>
        <w:rPr>
          <w:color w:val="231F20"/>
          <w:spacing w:val="-6"/>
        </w:rPr>
        <w:t> </w:t>
      </w:r>
      <w:r>
        <w:rPr>
          <w:color w:val="231F20"/>
        </w:rPr>
        <w:t>–</w:t>
      </w:r>
      <w:r>
        <w:rPr>
          <w:color w:val="231F20"/>
          <w:spacing w:val="-6"/>
        </w:rPr>
        <w:t> </w:t>
      </w:r>
      <w:r>
        <w:rPr>
          <w:color w:val="231F20"/>
        </w:rPr>
        <w:t>approach them early and give them time to respond.</w:t>
      </w:r>
    </w:p>
    <w:p>
      <w:pPr>
        <w:pStyle w:val="BodyText"/>
        <w:spacing w:before="120"/>
        <w:ind w:left="360" w:right="16"/>
      </w:pPr>
      <w:r>
        <w:rPr>
          <w:color w:val="231F20"/>
        </w:rPr>
        <w:t>By</w:t>
      </w:r>
      <w:r>
        <w:rPr>
          <w:color w:val="231F20"/>
          <w:spacing w:val="-9"/>
        </w:rPr>
        <w:t> </w:t>
      </w:r>
      <w:r>
        <w:rPr>
          <w:color w:val="231F20"/>
        </w:rPr>
        <w:t>implementing</w:t>
      </w:r>
      <w:r>
        <w:rPr>
          <w:color w:val="231F20"/>
          <w:spacing w:val="-9"/>
        </w:rPr>
        <w:t> </w:t>
      </w:r>
      <w:r>
        <w:rPr>
          <w:color w:val="231F20"/>
        </w:rPr>
        <w:t>these</w:t>
      </w:r>
      <w:r>
        <w:rPr>
          <w:color w:val="231F20"/>
          <w:spacing w:val="-9"/>
        </w:rPr>
        <w:t> </w:t>
      </w:r>
      <w:r>
        <w:rPr>
          <w:color w:val="231F20"/>
        </w:rPr>
        <w:t>reasonable</w:t>
      </w:r>
      <w:r>
        <w:rPr>
          <w:color w:val="231F20"/>
          <w:spacing w:val="-9"/>
        </w:rPr>
        <w:t> </w:t>
      </w:r>
      <w:r>
        <w:rPr>
          <w:color w:val="231F20"/>
        </w:rPr>
        <w:t>adjustments and ensuring physical accessibility,</w:t>
      </w:r>
    </w:p>
    <w:p>
      <w:pPr>
        <w:pStyle w:val="BodyText"/>
        <w:ind w:left="360" w:right="623"/>
      </w:pPr>
      <w:r>
        <w:rPr>
          <w:color w:val="231F20"/>
        </w:rPr>
        <w:t>employers can create a workplace that values and supports the contributions of deaf individuals. This not only helps the employees</w:t>
      </w:r>
      <w:r>
        <w:rPr>
          <w:color w:val="231F20"/>
          <w:spacing w:val="-7"/>
        </w:rPr>
        <w:t> </w:t>
      </w:r>
      <w:r>
        <w:rPr>
          <w:color w:val="231F20"/>
        </w:rPr>
        <w:t>themselves</w:t>
      </w:r>
      <w:r>
        <w:rPr>
          <w:color w:val="231F20"/>
          <w:spacing w:val="-7"/>
        </w:rPr>
        <w:t> </w:t>
      </w:r>
      <w:r>
        <w:rPr>
          <w:color w:val="231F20"/>
        </w:rPr>
        <w:t>but</w:t>
      </w:r>
      <w:r>
        <w:rPr>
          <w:color w:val="231F20"/>
          <w:spacing w:val="-7"/>
        </w:rPr>
        <w:t> </w:t>
      </w:r>
      <w:r>
        <w:rPr>
          <w:color w:val="231F20"/>
        </w:rPr>
        <w:t>also</w:t>
      </w:r>
      <w:r>
        <w:rPr>
          <w:color w:val="231F20"/>
          <w:spacing w:val="-7"/>
        </w:rPr>
        <w:t> </w:t>
      </w:r>
      <w:r>
        <w:rPr>
          <w:color w:val="231F20"/>
        </w:rPr>
        <w:t>enriches</w:t>
      </w:r>
      <w:r>
        <w:rPr>
          <w:color w:val="231F20"/>
          <w:spacing w:val="-7"/>
        </w:rPr>
        <w:t> </w:t>
      </w:r>
      <w:r>
        <w:rPr>
          <w:color w:val="231F20"/>
        </w:rPr>
        <w:t>the overall</w:t>
      </w:r>
      <w:r>
        <w:rPr>
          <w:color w:val="231F20"/>
          <w:spacing w:val="-5"/>
        </w:rPr>
        <w:t> </w:t>
      </w:r>
      <w:r>
        <w:rPr>
          <w:color w:val="231F20"/>
        </w:rPr>
        <w:t>workplace</w:t>
      </w:r>
      <w:r>
        <w:rPr>
          <w:color w:val="231F20"/>
          <w:spacing w:val="-5"/>
        </w:rPr>
        <w:t> </w:t>
      </w:r>
      <w:r>
        <w:rPr>
          <w:color w:val="231F20"/>
        </w:rPr>
        <w:t>environment,</w:t>
      </w:r>
      <w:r>
        <w:rPr>
          <w:color w:val="231F20"/>
          <w:spacing w:val="-5"/>
        </w:rPr>
        <w:t> </w:t>
      </w:r>
      <w:r>
        <w:rPr>
          <w:color w:val="231F20"/>
        </w:rPr>
        <w:t>leading</w:t>
      </w:r>
      <w:r>
        <w:rPr>
          <w:color w:val="231F20"/>
          <w:spacing w:val="-5"/>
        </w:rPr>
        <w:t> </w:t>
      </w:r>
      <w:r>
        <w:rPr>
          <w:color w:val="231F20"/>
        </w:rPr>
        <w:t>to</w:t>
      </w:r>
      <w:r>
        <w:rPr>
          <w:color w:val="231F20"/>
          <w:spacing w:val="-5"/>
        </w:rPr>
        <w:t> </w:t>
      </w:r>
      <w:r>
        <w:rPr>
          <w:color w:val="231F20"/>
        </w:rPr>
        <w:t>a more inclusive and productive workforce.</w:t>
      </w:r>
    </w:p>
    <w:p>
      <w:pPr>
        <w:pStyle w:val="BodyText"/>
        <w:spacing w:before="120"/>
        <w:ind w:left="360" w:right="623"/>
      </w:pPr>
      <w:r>
        <w:rPr>
          <w:color w:val="231F20"/>
        </w:rPr>
        <w:t>Consider</w:t>
      </w:r>
      <w:r>
        <w:rPr>
          <w:color w:val="231F20"/>
          <w:spacing w:val="-6"/>
        </w:rPr>
        <w:t> </w:t>
      </w:r>
      <w:r>
        <w:rPr>
          <w:color w:val="231F20"/>
        </w:rPr>
        <w:t>doing</w:t>
      </w:r>
      <w:r>
        <w:rPr>
          <w:color w:val="231F20"/>
          <w:spacing w:val="-6"/>
        </w:rPr>
        <w:t> </w:t>
      </w:r>
      <w:r>
        <w:rPr>
          <w:color w:val="231F20"/>
        </w:rPr>
        <w:t>the</w:t>
      </w:r>
      <w:r>
        <w:rPr>
          <w:color w:val="231F20"/>
          <w:spacing w:val="-6"/>
        </w:rPr>
        <w:t> </w:t>
      </w:r>
      <w:r>
        <w:rPr>
          <w:color w:val="231F20"/>
        </w:rPr>
        <w:t>checklist</w:t>
      </w:r>
      <w:r>
        <w:rPr>
          <w:color w:val="231F20"/>
          <w:spacing w:val="-6"/>
        </w:rPr>
        <w:t> </w:t>
      </w:r>
      <w:r>
        <w:rPr>
          <w:color w:val="231F20"/>
        </w:rPr>
        <w:t>to</w:t>
      </w:r>
      <w:r>
        <w:rPr>
          <w:color w:val="231F20"/>
          <w:spacing w:val="-6"/>
        </w:rPr>
        <w:t> </w:t>
      </w:r>
      <w:r>
        <w:rPr>
          <w:color w:val="231F20"/>
        </w:rPr>
        <w:t>ensure</w:t>
      </w:r>
      <w:r>
        <w:rPr>
          <w:color w:val="231F20"/>
          <w:spacing w:val="-6"/>
        </w:rPr>
        <w:t> </w:t>
      </w:r>
      <w:r>
        <w:rPr>
          <w:color w:val="231F20"/>
        </w:rPr>
        <w:t>your workplace is meeting the requirements under the AIDE framework and share your success stories with Deaf Australia.</w:t>
      </w:r>
    </w:p>
    <w:sectPr>
      <w:type w:val="continuous"/>
      <w:pgSz w:w="11910" w:h="16840"/>
      <w:pgMar w:header="0" w:footer="333" w:top="1920" w:bottom="0" w:left="380" w:right="420"/>
      <w:cols w:num="2" w:equalWidth="0">
        <w:col w:w="5434" w:space="159"/>
        <w:col w:w="5517"/>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Museo Sans Rounded 500">
    <w:altName w:val="Museo Sans Rounded 500"/>
    <w:charset w:val="0"/>
    <w:family w:val="roman"/>
    <w:pitch w:val="variable"/>
  </w:font>
  <w:font w:name="Museo Sans Rounded 700">
    <w:altName w:val="Museo Sans Rounded 700"/>
    <w:charset w:val="0"/>
    <w:family w:val="roman"/>
    <w:pitch w:val="variable"/>
  </w:font>
  <w:font w:name="Museo Sans 500">
    <w:altName w:val="Museo Sans 500"/>
    <w:charset w:val="0"/>
    <w:family w:val="roman"/>
    <w:pitch w:val="variable"/>
  </w:font>
  <w:font w:name="Museo Sans 900">
    <w:altName w:val="Museo Sans 900"/>
    <w:charset w:val="0"/>
    <w:family w:val="roman"/>
    <w:pitch w:val="variable"/>
  </w:font>
  <w:font w:name="Museo Sans Rounded 900">
    <w:altName w:val="Museo Sans Rounded 900"/>
    <w:charset w:val="0"/>
    <w:family w:val="roman"/>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470080">
              <wp:simplePos x="0" y="0"/>
              <wp:positionH relativeFrom="page">
                <wp:posOffset>0</wp:posOffset>
              </wp:positionH>
              <wp:positionV relativeFrom="page">
                <wp:posOffset>10353332</wp:posOffset>
              </wp:positionV>
              <wp:extent cx="7560309" cy="339090"/>
              <wp:effectExtent l="0" t="0" r="0" b="0"/>
              <wp:wrapNone/>
              <wp:docPr id="21" name="Graphic 21"/>
              <wp:cNvGraphicFramePr>
                <a:graphicFrameLocks/>
              </wp:cNvGraphicFramePr>
              <a:graphic>
                <a:graphicData uri="http://schemas.microsoft.com/office/word/2010/wordprocessingShape">
                  <wps:wsp>
                    <wps:cNvPr id="21" name="Graphic 21"/>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815.223022pt;width:595.276pt;height:26.667pt;mso-position-horizontal-relative:page;mso-position-vertical-relative:page;z-index:-15846400" id="docshape20" filled="true" fillcolor="#efa007" stroked="false">
              <v:fill type="solid"/>
              <w10:wrap type="none"/>
            </v:rect>
          </w:pict>
        </mc:Fallback>
      </mc:AlternateContent>
    </w:r>
    <w:r>
      <w:rPr/>
      <mc:AlternateContent>
        <mc:Choice Requires="wps">
          <w:drawing>
            <wp:anchor distT="0" distB="0" distL="0" distR="0" allowOverlap="1" layoutInCell="1" locked="0" behindDoc="1" simplePos="0" relativeHeight="487470592">
              <wp:simplePos x="0" y="0"/>
              <wp:positionH relativeFrom="page">
                <wp:posOffset>7100523</wp:posOffset>
              </wp:positionH>
              <wp:positionV relativeFrom="page">
                <wp:posOffset>10443790</wp:posOffset>
              </wp:positionV>
              <wp:extent cx="93980" cy="161925"/>
              <wp:effectExtent l="0" t="0" r="0" b="0"/>
              <wp:wrapNone/>
              <wp:docPr id="22" name="Textbox 22"/>
              <wp:cNvGraphicFramePr>
                <a:graphicFrameLocks/>
              </wp:cNvGraphicFramePr>
              <a:graphic>
                <a:graphicData uri="http://schemas.microsoft.com/office/word/2010/wordprocessingShape">
                  <wps:wsp>
                    <wps:cNvPr id="22" name="Textbox 22"/>
                    <wps:cNvSpPr txBox="1"/>
                    <wps:spPr>
                      <a:xfrm>
                        <a:off x="0" y="0"/>
                        <a:ext cx="93980" cy="161925"/>
                      </a:xfrm>
                      <a:prstGeom prst="rect">
                        <a:avLst/>
                      </a:prstGeom>
                    </wps:spPr>
                    <wps:txbx>
                      <w:txbxContent>
                        <w:p>
                          <w:pPr>
                            <w:spacing w:before="20"/>
                            <w:ind w:left="20" w:right="0" w:firstLine="0"/>
                            <w:jc w:val="left"/>
                            <w:rPr>
                              <w:rFonts w:ascii="Museo Sans Rounded 500"/>
                              <w:sz w:val="18"/>
                            </w:rPr>
                          </w:pPr>
                          <w:r>
                            <w:rPr>
                              <w:rFonts w:ascii="Museo Sans Rounded 500"/>
                              <w:color w:val="231F20"/>
                              <w:spacing w:val="-10"/>
                              <w:sz w:val="18"/>
                            </w:rPr>
                            <w:t>4</w:t>
                          </w:r>
                        </w:p>
                      </w:txbxContent>
                    </wps:txbx>
                    <wps:bodyPr wrap="square" lIns="0" tIns="0" rIns="0" bIns="0" rtlCol="0">
                      <a:noAutofit/>
                    </wps:bodyPr>
                  </wps:wsp>
                </a:graphicData>
              </a:graphic>
            </wp:anchor>
          </w:drawing>
        </mc:Choice>
        <mc:Fallback>
          <w:pict>
            <v:shape style="position:absolute;margin-left:559.096313pt;margin-top:822.345703pt;width:7.4pt;height:12.75pt;mso-position-horizontal-relative:page;mso-position-vertical-relative:page;z-index:-15845888" type="#_x0000_t202" id="docshape21" filled="false" stroked="false">
              <v:textbox inset="0,0,0,0">
                <w:txbxContent>
                  <w:p>
                    <w:pPr>
                      <w:spacing w:before="20"/>
                      <w:ind w:left="20" w:right="0" w:firstLine="0"/>
                      <w:jc w:val="left"/>
                      <w:rPr>
                        <w:rFonts w:ascii="Museo Sans Rounded 500"/>
                        <w:sz w:val="18"/>
                      </w:rPr>
                    </w:pPr>
                    <w:r>
                      <w:rPr>
                        <w:rFonts w:ascii="Museo Sans Rounded 500"/>
                        <w:color w:val="231F20"/>
                        <w:spacing w:val="-10"/>
                        <w:sz w:val="18"/>
                      </w:rPr>
                      <w:t>4</w:t>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469056">
              <wp:simplePos x="0" y="0"/>
              <wp:positionH relativeFrom="page">
                <wp:posOffset>0</wp:posOffset>
              </wp:positionH>
              <wp:positionV relativeFrom="page">
                <wp:posOffset>0</wp:posOffset>
              </wp:positionV>
              <wp:extent cx="7560309" cy="339090"/>
              <wp:effectExtent l="0" t="0" r="0" b="0"/>
              <wp:wrapNone/>
              <wp:docPr id="18" name="Graphic 18"/>
              <wp:cNvGraphicFramePr>
                <a:graphicFrameLocks/>
              </wp:cNvGraphicFramePr>
              <a:graphic>
                <a:graphicData uri="http://schemas.microsoft.com/office/word/2010/wordprocessingShape">
                  <wps:wsp>
                    <wps:cNvPr id="18" name="Graphic 18"/>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000015pt;width:595.276pt;height:26.667pt;mso-position-horizontal-relative:page;mso-position-vertical-relative:page;z-index:-15847424" id="docshape18" filled="true" fillcolor="#efa007" stroked="false">
              <v:fill type="solid"/>
              <w10:wrap type="none"/>
            </v:rect>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469568">
              <wp:simplePos x="0" y="0"/>
              <wp:positionH relativeFrom="page">
                <wp:posOffset>0</wp:posOffset>
              </wp:positionH>
              <wp:positionV relativeFrom="page">
                <wp:posOffset>0</wp:posOffset>
              </wp:positionV>
              <wp:extent cx="7560309" cy="339090"/>
              <wp:effectExtent l="0" t="0" r="0" b="0"/>
              <wp:wrapNone/>
              <wp:docPr id="20" name="Graphic 20"/>
              <wp:cNvGraphicFramePr>
                <a:graphicFrameLocks/>
              </wp:cNvGraphicFramePr>
              <a:graphic>
                <a:graphicData uri="http://schemas.microsoft.com/office/word/2010/wordprocessingShape">
                  <wps:wsp>
                    <wps:cNvPr id="20" name="Graphic 20"/>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000015pt;width:595.276pt;height:26.667pt;mso-position-horizontal-relative:page;mso-position-vertical-relative:page;z-index:-15846912" id="docshape19" filled="true" fillcolor="#efa007" stroked="false">
              <v:fill type="solid"/>
              <w10:wrap type="none"/>
            </v:rect>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
    <w:multiLevelType w:val="hybridMultilevel"/>
    <w:lvl w:ilvl="0">
      <w:start w:val="1"/>
      <w:numFmt w:val="decimal"/>
      <w:lvlText w:val="%1."/>
      <w:lvlJc w:val="left"/>
      <w:pPr>
        <w:ind w:left="360" w:hanging="220"/>
        <w:jc w:val="left"/>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1">
      <w:start w:val="0"/>
      <w:numFmt w:val="bullet"/>
      <w:lvlText w:val="•"/>
      <w:lvlJc w:val="left"/>
      <w:pPr>
        <w:ind w:left="867" w:hanging="220"/>
      </w:pPr>
      <w:rPr>
        <w:rFonts w:hint="default"/>
        <w:lang w:val="en-US" w:eastAsia="en-US" w:bidi="ar-SA"/>
      </w:rPr>
    </w:lvl>
    <w:lvl w:ilvl="2">
      <w:start w:val="0"/>
      <w:numFmt w:val="bullet"/>
      <w:lvlText w:val="•"/>
      <w:lvlJc w:val="left"/>
      <w:pPr>
        <w:ind w:left="1374" w:hanging="220"/>
      </w:pPr>
      <w:rPr>
        <w:rFonts w:hint="default"/>
        <w:lang w:val="en-US" w:eastAsia="en-US" w:bidi="ar-SA"/>
      </w:rPr>
    </w:lvl>
    <w:lvl w:ilvl="3">
      <w:start w:val="0"/>
      <w:numFmt w:val="bullet"/>
      <w:lvlText w:val="•"/>
      <w:lvlJc w:val="left"/>
      <w:pPr>
        <w:ind w:left="1881" w:hanging="220"/>
      </w:pPr>
      <w:rPr>
        <w:rFonts w:hint="default"/>
        <w:lang w:val="en-US" w:eastAsia="en-US" w:bidi="ar-SA"/>
      </w:rPr>
    </w:lvl>
    <w:lvl w:ilvl="4">
      <w:start w:val="0"/>
      <w:numFmt w:val="bullet"/>
      <w:lvlText w:val="•"/>
      <w:lvlJc w:val="left"/>
      <w:pPr>
        <w:ind w:left="2389" w:hanging="220"/>
      </w:pPr>
      <w:rPr>
        <w:rFonts w:hint="default"/>
        <w:lang w:val="en-US" w:eastAsia="en-US" w:bidi="ar-SA"/>
      </w:rPr>
    </w:lvl>
    <w:lvl w:ilvl="5">
      <w:start w:val="0"/>
      <w:numFmt w:val="bullet"/>
      <w:lvlText w:val="•"/>
      <w:lvlJc w:val="left"/>
      <w:pPr>
        <w:ind w:left="2896" w:hanging="220"/>
      </w:pPr>
      <w:rPr>
        <w:rFonts w:hint="default"/>
        <w:lang w:val="en-US" w:eastAsia="en-US" w:bidi="ar-SA"/>
      </w:rPr>
    </w:lvl>
    <w:lvl w:ilvl="6">
      <w:start w:val="0"/>
      <w:numFmt w:val="bullet"/>
      <w:lvlText w:val="•"/>
      <w:lvlJc w:val="left"/>
      <w:pPr>
        <w:ind w:left="3403" w:hanging="220"/>
      </w:pPr>
      <w:rPr>
        <w:rFonts w:hint="default"/>
        <w:lang w:val="en-US" w:eastAsia="en-US" w:bidi="ar-SA"/>
      </w:rPr>
    </w:lvl>
    <w:lvl w:ilvl="7">
      <w:start w:val="0"/>
      <w:numFmt w:val="bullet"/>
      <w:lvlText w:val="•"/>
      <w:lvlJc w:val="left"/>
      <w:pPr>
        <w:ind w:left="3911" w:hanging="220"/>
      </w:pPr>
      <w:rPr>
        <w:rFonts w:hint="default"/>
        <w:lang w:val="en-US" w:eastAsia="en-US" w:bidi="ar-SA"/>
      </w:rPr>
    </w:lvl>
    <w:lvl w:ilvl="8">
      <w:start w:val="0"/>
      <w:numFmt w:val="bullet"/>
      <w:lvlText w:val="•"/>
      <w:lvlJc w:val="left"/>
      <w:pPr>
        <w:ind w:left="4418" w:hanging="220"/>
      </w:pPr>
      <w:rPr>
        <w:rFonts w:hint="default"/>
        <w:lang w:val="en-US" w:eastAsia="en-US" w:bidi="ar-SA"/>
      </w:rPr>
    </w:lvl>
  </w:abstractNum>
  <w:abstractNum w:abstractNumId="0">
    <w:multiLevelType w:val="hybridMultilevel"/>
    <w:lvl w:ilvl="0">
      <w:start w:val="1"/>
      <w:numFmt w:val="decimal"/>
      <w:lvlText w:val="%1."/>
      <w:lvlJc w:val="left"/>
      <w:pPr>
        <w:ind w:left="426" w:hanging="320"/>
        <w:jc w:val="left"/>
      </w:pPr>
      <w:rPr>
        <w:rFonts w:hint="default" w:ascii="Museo Sans 500" w:hAnsi="Museo Sans 500" w:eastAsia="Museo Sans 500" w:cs="Museo Sans 500"/>
        <w:b w:val="0"/>
        <w:bCs w:val="0"/>
        <w:i w:val="0"/>
        <w:iCs w:val="0"/>
        <w:color w:val="231F20"/>
        <w:spacing w:val="0"/>
        <w:w w:val="100"/>
        <w:sz w:val="32"/>
        <w:szCs w:val="32"/>
        <w:lang w:val="en-US" w:eastAsia="en-US" w:bidi="ar-SA"/>
      </w:rPr>
    </w:lvl>
    <w:lvl w:ilvl="1">
      <w:start w:val="0"/>
      <w:numFmt w:val="bullet"/>
      <w:lvlText w:val="•"/>
      <w:lvlJc w:val="left"/>
      <w:pPr>
        <w:ind w:left="340" w:hanging="147"/>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2">
      <w:start w:val="0"/>
      <w:numFmt w:val="bullet"/>
      <w:lvlText w:val="•"/>
      <w:lvlJc w:val="left"/>
      <w:pPr>
        <w:ind w:left="977" w:hanging="147"/>
      </w:pPr>
      <w:rPr>
        <w:rFonts w:hint="default"/>
        <w:lang w:val="en-US" w:eastAsia="en-US" w:bidi="ar-SA"/>
      </w:rPr>
    </w:lvl>
    <w:lvl w:ilvl="3">
      <w:start w:val="0"/>
      <w:numFmt w:val="bullet"/>
      <w:lvlText w:val="•"/>
      <w:lvlJc w:val="left"/>
      <w:pPr>
        <w:ind w:left="1534" w:hanging="147"/>
      </w:pPr>
      <w:rPr>
        <w:rFonts w:hint="default"/>
        <w:lang w:val="en-US" w:eastAsia="en-US" w:bidi="ar-SA"/>
      </w:rPr>
    </w:lvl>
    <w:lvl w:ilvl="4">
      <w:start w:val="0"/>
      <w:numFmt w:val="bullet"/>
      <w:lvlText w:val="•"/>
      <w:lvlJc w:val="left"/>
      <w:pPr>
        <w:ind w:left="2091" w:hanging="147"/>
      </w:pPr>
      <w:rPr>
        <w:rFonts w:hint="default"/>
        <w:lang w:val="en-US" w:eastAsia="en-US" w:bidi="ar-SA"/>
      </w:rPr>
    </w:lvl>
    <w:lvl w:ilvl="5">
      <w:start w:val="0"/>
      <w:numFmt w:val="bullet"/>
      <w:lvlText w:val="•"/>
      <w:lvlJc w:val="left"/>
      <w:pPr>
        <w:ind w:left="2648" w:hanging="147"/>
      </w:pPr>
      <w:rPr>
        <w:rFonts w:hint="default"/>
        <w:lang w:val="en-US" w:eastAsia="en-US" w:bidi="ar-SA"/>
      </w:rPr>
    </w:lvl>
    <w:lvl w:ilvl="6">
      <w:start w:val="0"/>
      <w:numFmt w:val="bullet"/>
      <w:lvlText w:val="•"/>
      <w:lvlJc w:val="left"/>
      <w:pPr>
        <w:ind w:left="3205" w:hanging="147"/>
      </w:pPr>
      <w:rPr>
        <w:rFonts w:hint="default"/>
        <w:lang w:val="en-US" w:eastAsia="en-US" w:bidi="ar-SA"/>
      </w:rPr>
    </w:lvl>
    <w:lvl w:ilvl="7">
      <w:start w:val="0"/>
      <w:numFmt w:val="bullet"/>
      <w:lvlText w:val="•"/>
      <w:lvlJc w:val="left"/>
      <w:pPr>
        <w:ind w:left="3762" w:hanging="147"/>
      </w:pPr>
      <w:rPr>
        <w:rFonts w:hint="default"/>
        <w:lang w:val="en-US" w:eastAsia="en-US" w:bidi="ar-SA"/>
      </w:rPr>
    </w:lvl>
    <w:lvl w:ilvl="8">
      <w:start w:val="0"/>
      <w:numFmt w:val="bullet"/>
      <w:lvlText w:val="•"/>
      <w:lvlJc w:val="left"/>
      <w:pPr>
        <w:ind w:left="4319" w:hanging="147"/>
      </w:pPr>
      <w:rPr>
        <w:rFonts w:hint="default"/>
        <w:lang w:val="en-US" w:eastAsia="en-US" w:bidi="ar-SA"/>
      </w:rPr>
    </w:lvl>
  </w:abstract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Museo Sans 500" w:hAnsi="Museo Sans 500" w:eastAsia="Museo Sans 500" w:cs="Museo Sans 500"/>
      <w:lang w:val="en-US" w:eastAsia="en-US" w:bidi="ar-SA"/>
    </w:rPr>
  </w:style>
  <w:style w:styleId="BodyText" w:type="paragraph">
    <w:name w:val="Body Text"/>
    <w:basedOn w:val="Normal"/>
    <w:uiPriority w:val="1"/>
    <w:qFormat/>
    <w:pPr/>
    <w:rPr>
      <w:rFonts w:ascii="Museo Sans 500" w:hAnsi="Museo Sans 500" w:eastAsia="Museo Sans 500" w:cs="Museo Sans 500"/>
      <w:sz w:val="22"/>
      <w:szCs w:val="22"/>
      <w:lang w:val="en-US" w:eastAsia="en-US" w:bidi="ar-SA"/>
    </w:rPr>
  </w:style>
  <w:style w:styleId="Heading1" w:type="paragraph">
    <w:name w:val="Heading 1"/>
    <w:basedOn w:val="Normal"/>
    <w:uiPriority w:val="1"/>
    <w:qFormat/>
    <w:pPr>
      <w:ind w:left="436"/>
      <w:outlineLvl w:val="1"/>
    </w:pPr>
    <w:rPr>
      <w:rFonts w:ascii="Museo Sans Rounded 500" w:hAnsi="Museo Sans Rounded 500" w:eastAsia="Museo Sans Rounded 500" w:cs="Museo Sans Rounded 500"/>
      <w:sz w:val="40"/>
      <w:szCs w:val="40"/>
      <w:lang w:val="en-US" w:eastAsia="en-US" w:bidi="ar-SA"/>
    </w:rPr>
  </w:style>
  <w:style w:styleId="Heading2" w:type="paragraph">
    <w:name w:val="Heading 2"/>
    <w:basedOn w:val="Normal"/>
    <w:uiPriority w:val="1"/>
    <w:qFormat/>
    <w:pPr>
      <w:ind w:left="426" w:hanging="349"/>
      <w:outlineLvl w:val="2"/>
    </w:pPr>
    <w:rPr>
      <w:rFonts w:ascii="Museo Sans 900" w:hAnsi="Museo Sans 900" w:eastAsia="Museo Sans 900" w:cs="Museo Sans 900"/>
      <w:b/>
      <w:bCs/>
      <w:sz w:val="32"/>
      <w:szCs w:val="32"/>
      <w:lang w:val="en-US" w:eastAsia="en-US" w:bidi="ar-SA"/>
    </w:rPr>
  </w:style>
  <w:style w:styleId="Title" w:type="paragraph">
    <w:name w:val="Title"/>
    <w:basedOn w:val="Normal"/>
    <w:uiPriority w:val="1"/>
    <w:qFormat/>
    <w:pPr>
      <w:ind w:left="531" w:right="1983"/>
    </w:pPr>
    <w:rPr>
      <w:rFonts w:ascii="Museo Sans Rounded 900" w:hAnsi="Museo Sans Rounded 900" w:eastAsia="Museo Sans Rounded 900" w:cs="Museo Sans Rounded 900"/>
      <w:b/>
      <w:bCs/>
      <w:sz w:val="80"/>
      <w:szCs w:val="80"/>
      <w:lang w:val="en-US" w:eastAsia="en-US" w:bidi="ar-SA"/>
    </w:rPr>
  </w:style>
  <w:style w:styleId="ListParagraph" w:type="paragraph">
    <w:name w:val="List Paragraph"/>
    <w:basedOn w:val="Normal"/>
    <w:uiPriority w:val="1"/>
    <w:qFormat/>
    <w:pPr>
      <w:spacing w:before="120"/>
      <w:ind w:left="360" w:hanging="200"/>
    </w:pPr>
    <w:rPr>
      <w:rFonts w:ascii="Museo Sans 500" w:hAnsi="Museo Sans 500" w:eastAsia="Museo Sans 500" w:cs="Museo Sans 500"/>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eader" Target="header1.xml"/><Relationship Id="rId11" Type="http://schemas.openxmlformats.org/officeDocument/2006/relationships/image" Target="media/image6.png"/><Relationship Id="rId12" Type="http://schemas.openxmlformats.org/officeDocument/2006/relationships/header" Target="header2.xml"/><Relationship Id="rId13" Type="http://schemas.openxmlformats.org/officeDocument/2006/relationships/footer" Target="footer1.xml"/><Relationship Id="rId1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2024-02-19T08:33:00Z</dcterms:created>
  <dcterms:modified xsi:type="dcterms:W3CDTF">2024-02-19T08:33:00Z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2024-02-16T00:00:00Z</vt:filetime>
  </property>
  <property fmtid="{D5CDD505-2E9C-101B-9397-08002B2CF9AE}" pid="3" name="Creator">
    <vt:lpwstr>Adobe InDesign 19.2 (Macintosh)</vt:lpwstr>
  </property>
  <property fmtid="{D5CDD505-2E9C-101B-9397-08002B2CF9AE}" pid="4" name="LastSaved">
    <vt:filetime>2024-02-19T00:00:00Z</vt:filetime>
  </property>
  <property fmtid="{D5CDD505-2E9C-101B-9397-08002B2CF9AE}" pid="5" name="Producer">
    <vt:lpwstr>Adobe PDF Library 17.0</vt:lpwstr>
  </property>
</Properties>
</file>